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75E4E" w14:textId="77777777" w:rsidR="00E12AC7" w:rsidRDefault="00E12AC7" w:rsidP="00E52C04">
      <w:pPr>
        <w:ind w:left="720" w:hanging="360"/>
        <w:jc w:val="right"/>
      </w:pPr>
    </w:p>
    <w:p w14:paraId="63DD862C" w14:textId="1A46C10C" w:rsidR="00143B70" w:rsidRPr="00480789" w:rsidRDefault="00480789" w:rsidP="00480789">
      <w:pPr>
        <w:pStyle w:val="Akapitzlist"/>
        <w:jc w:val="right"/>
        <w:rPr>
          <w:bCs/>
          <w:szCs w:val="20"/>
        </w:rPr>
      </w:pPr>
      <w:r w:rsidRPr="00480789">
        <w:rPr>
          <w:bCs/>
          <w:szCs w:val="20"/>
        </w:rPr>
        <w:t>Zał. 2 – Szczegółowy opis przedmiotu zamówienia</w:t>
      </w:r>
    </w:p>
    <w:p w14:paraId="44712538" w14:textId="77777777" w:rsidR="004C0064" w:rsidRPr="00143B70" w:rsidRDefault="004C0064" w:rsidP="004C0064">
      <w:pPr>
        <w:pStyle w:val="Akapitzlist"/>
        <w:rPr>
          <w:b/>
          <w:sz w:val="21"/>
        </w:rPr>
      </w:pPr>
    </w:p>
    <w:p w14:paraId="48ECDDC3" w14:textId="77777777" w:rsidR="006F0E43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color w:val="000000"/>
        </w:rPr>
      </w:pPr>
    </w:p>
    <w:p w14:paraId="231B1714" w14:textId="4DDA4098" w:rsidR="00ED3342" w:rsidRPr="006F0E43" w:rsidRDefault="00ED3342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bCs/>
          <w:color w:val="000000"/>
        </w:rPr>
      </w:pPr>
      <w:bookmarkStart w:id="0" w:name="OLE_LINK1"/>
      <w:r w:rsidRPr="006F0E43">
        <w:rPr>
          <w:rFonts w:cstheme="minorHAnsi"/>
          <w:b/>
          <w:bCs/>
          <w:color w:val="000000"/>
        </w:rPr>
        <w:t>OPIS PRZEDMIOTU ZAMÓWIENIA</w:t>
      </w:r>
    </w:p>
    <w:p w14:paraId="7A984F31" w14:textId="77777777" w:rsidR="003777A0" w:rsidRPr="003777A0" w:rsidRDefault="003777A0" w:rsidP="003777A0">
      <w:pPr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0230742" w14:textId="5637ECEF" w:rsidR="003777A0" w:rsidRPr="003777A0" w:rsidRDefault="003777A0" w:rsidP="003777A0">
      <w:pPr>
        <w:ind w:left="57"/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 xml:space="preserve">Przedmiotem Zamówienia jest zaprojektowanie </w:t>
      </w:r>
      <w:r w:rsidRPr="003777A0">
        <w:rPr>
          <w:rFonts w:cs="Calibri"/>
        </w:rPr>
        <w:t>zakup, dostarczenie, instalacja oraz uruchomienie stacjonarnego</w:t>
      </w:r>
      <w:r w:rsidRPr="003777A0">
        <w:rPr>
          <w:rFonts w:cs="Calibri"/>
          <w:b/>
          <w:bCs/>
        </w:rPr>
        <w:t xml:space="preserve"> </w:t>
      </w:r>
      <w:r w:rsidRPr="003777A0">
        <w:rPr>
          <w:rFonts w:cs="Calibri"/>
          <w:bCs/>
        </w:rPr>
        <w:t>Magazynu Energii</w:t>
      </w:r>
      <w:r w:rsidRPr="003777A0">
        <w:rPr>
          <w:rFonts w:cs="Calibri"/>
          <w:b/>
          <w:bCs/>
        </w:rPr>
        <w:t xml:space="preserve"> </w:t>
      </w:r>
      <w:r w:rsidRPr="003777A0">
        <w:rPr>
          <w:rFonts w:cs="Calibri"/>
          <w:bCs/>
        </w:rPr>
        <w:t>(BESS - Battery Energy Storage System)</w:t>
      </w:r>
      <w:r w:rsidRPr="003777A0">
        <w:rPr>
          <w:rFonts w:eastAsia="Times New Roman" w:cstheme="minorHAnsi"/>
          <w:color w:val="000000" w:themeColor="text1"/>
          <w:lang w:eastAsia="pl-PL"/>
        </w:rPr>
        <w:t xml:space="preserve">, a także podłączenie instalacji magazynu energii do sieci elektroenergetycznej </w:t>
      </w:r>
      <w:r w:rsidR="0063157F">
        <w:rPr>
          <w:rFonts w:eastAsia="Times New Roman" w:cstheme="minorHAnsi"/>
          <w:color w:val="000000" w:themeColor="text1"/>
          <w:lang w:eastAsia="pl-PL"/>
        </w:rPr>
        <w:t>ENEA</w:t>
      </w:r>
      <w:r w:rsidRPr="003777A0">
        <w:rPr>
          <w:rFonts w:eastAsia="Times New Roman" w:cstheme="minorHAnsi"/>
          <w:color w:val="000000" w:themeColor="text1"/>
          <w:lang w:eastAsia="pl-PL"/>
        </w:rPr>
        <w:t xml:space="preserve"> S.A. za pośrednictwem układu zasilania zakładu Zamawiającego wraz z jej uruchomieniem oraz wykonaniem i dostarczeniem dokumentacji formalno-prawnej. Magazyn energii będzie współpracował z instalacją fotowoltaiczną. </w:t>
      </w:r>
      <w:r w:rsidRPr="003777A0">
        <w:rPr>
          <w:rFonts w:cs="Calibri"/>
          <w:bCs/>
        </w:rPr>
        <w:t xml:space="preserve">System BESS powinien być skonfigurowany z myślą o pracy na rynku energii (Arbitrażu </w:t>
      </w:r>
      <w:r w:rsidR="0063157F">
        <w:rPr>
          <w:rFonts w:cs="Calibri"/>
          <w:bCs/>
        </w:rPr>
        <w:t>cen e</w:t>
      </w:r>
      <w:r w:rsidRPr="003777A0">
        <w:rPr>
          <w:rFonts w:cs="Calibri"/>
          <w:bCs/>
        </w:rPr>
        <w:t>nergii</w:t>
      </w:r>
      <w:r w:rsidR="0063157F">
        <w:rPr>
          <w:rFonts w:cs="Calibri"/>
          <w:bCs/>
        </w:rPr>
        <w:t>, rynek bilansujący oraz rynek mocy).</w:t>
      </w:r>
      <w:r w:rsidRPr="003777A0">
        <w:rPr>
          <w:rFonts w:cs="Calibri"/>
          <w:bCs/>
        </w:rPr>
        <w:t xml:space="preserve"> </w:t>
      </w:r>
    </w:p>
    <w:p w14:paraId="1ADA3D94" w14:textId="77777777" w:rsidR="003777A0" w:rsidRPr="003777A0" w:rsidRDefault="003777A0" w:rsidP="003777A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</w:rPr>
      </w:pPr>
    </w:p>
    <w:p w14:paraId="41791EFF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 celu realizacji zamówienia Wykonawca zobowiązany jest opracować niezbędną dokumentację projektową techniczną wraz z niezbędnymi uzgodnieniami. </w:t>
      </w:r>
    </w:p>
    <w:p w14:paraId="5EA6FA5F" w14:textId="77777777" w:rsidR="003777A0" w:rsidRPr="003777A0" w:rsidRDefault="003777A0" w:rsidP="003777A0">
      <w:pPr>
        <w:jc w:val="both"/>
        <w:rPr>
          <w:rFonts w:cstheme="minorHAnsi"/>
        </w:rPr>
      </w:pPr>
    </w:p>
    <w:p w14:paraId="46DFF144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Dodatkowo, Wykonawca w imieniu Inwestora przeprowadzi wszelkie wymagane czynności formalne przed odpowiednimi urzędami oraz Operatorem Sieci Dystrybucyjnej, na podstawie których skutecznie przeprowadzone zostaną czynności odbiorowe oraz uzyskana zostanie zgoda na uruchomienie magazynu energii.</w:t>
      </w:r>
    </w:p>
    <w:p w14:paraId="1837A6FB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 ramach obowiązków Wykonawcy leży wykonanie i dostarczenie w szczególności:</w:t>
      </w:r>
    </w:p>
    <w:p w14:paraId="2A0DA687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>Projekt techniczny z uzgodnieniem OSD,</w:t>
      </w:r>
    </w:p>
    <w:p w14:paraId="68BA5D7C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>Projekt techniczny wykonawczy,</w:t>
      </w:r>
    </w:p>
    <w:p w14:paraId="50A15316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>Instrukcję współpracy eksploatacyjno-ruchowej z uzgodnieniem OSD,</w:t>
      </w:r>
    </w:p>
    <w:p w14:paraId="57FD4231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 xml:space="preserve">Przeprowadzenie całej, kompletnej procedury związanej z prowadzeniem budowy przed Powiatowym Inspektoratem Nadzoru Budowlanego, </w:t>
      </w:r>
    </w:p>
    <w:p w14:paraId="29E12B6B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>Wszelkie inne, niewymienione wyżej decyzje urzędowe lub pozwolenia administracyjne wymagane do prawidłowego zaprojektowania oraz przeprowadzenia prac budowlano-montażowych objętych przedmiotem zamówienia oraz podłączenia instalacji magazynu energii do sieci OSD.</w:t>
      </w:r>
    </w:p>
    <w:p w14:paraId="3E4B64A3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cstheme="minorHAnsi"/>
        </w:rPr>
        <w:t xml:space="preserve">Wykonanie robót budowlano-montażowych </w:t>
      </w:r>
      <w:r w:rsidRPr="003777A0">
        <w:rPr>
          <w:rFonts w:eastAsia="Times New Roman" w:cstheme="minorHAnsi"/>
          <w:color w:val="000000" w:themeColor="text1"/>
          <w:lang w:eastAsia="pl-PL"/>
        </w:rPr>
        <w:t>wraz z dostawą niezbędnych materiałów i urządzeń, zgodnie z zatwierdzonym projektem budowlanym technicznym, wydanymi dla celów inwestycji pozwoleniami, decyzjami, uzgodnieniami i opiniami lub warunkami technicznymi oraz ze sztuką budowlaną, obowiązującymi przepisami prawa i normami.</w:t>
      </w:r>
    </w:p>
    <w:p w14:paraId="6D60A6F7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 xml:space="preserve">Podłączenie instalacji magazynu energii, </w:t>
      </w:r>
    </w:p>
    <w:p w14:paraId="2FF24532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 xml:space="preserve">Przeprowadzić odbiór techniczny inwestycji z Zamawiającym i OSD. </w:t>
      </w:r>
    </w:p>
    <w:p w14:paraId="7C55658E" w14:textId="77777777" w:rsidR="003777A0" w:rsidRPr="003777A0" w:rsidRDefault="003777A0" w:rsidP="003777A0">
      <w:pPr>
        <w:numPr>
          <w:ilvl w:val="0"/>
          <w:numId w:val="13"/>
        </w:numPr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 xml:space="preserve">Przeprowadzić szkolenia z obsługi magazynu energii dla pracowników Zamawiającego. </w:t>
      </w:r>
    </w:p>
    <w:p w14:paraId="7325E2FB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>Wykonać termowizyjną inspekcję instalacji magazynu energii wykonaną zgodnie z zasadami badań termowizyjnych.</w:t>
      </w:r>
    </w:p>
    <w:p w14:paraId="0F81B4B1" w14:textId="77777777" w:rsidR="003777A0" w:rsidRPr="003777A0" w:rsidRDefault="003777A0" w:rsidP="003777A0">
      <w:pPr>
        <w:numPr>
          <w:ilvl w:val="0"/>
          <w:numId w:val="13"/>
        </w:numPr>
        <w:suppressAutoHyphens/>
        <w:jc w:val="both"/>
        <w:rPr>
          <w:rFonts w:cstheme="minorHAnsi"/>
        </w:rPr>
      </w:pPr>
      <w:r w:rsidRPr="003777A0">
        <w:rPr>
          <w:rFonts w:cstheme="minorHAnsi"/>
          <w:color w:val="000000"/>
        </w:rPr>
        <w:t>Przeprowadzić min. 7-dniową analizę pomiarów jakości energii elektrycznej przy uruchomionym magazynie energii.</w:t>
      </w:r>
    </w:p>
    <w:p w14:paraId="7DFDA75D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>Wykonać nadzory autorskie w ramach wykonanej dokumentacji projektowej.</w:t>
      </w:r>
    </w:p>
    <w:p w14:paraId="070A9C6A" w14:textId="77777777" w:rsidR="003777A0" w:rsidRDefault="003777A0" w:rsidP="003777A0">
      <w:pPr>
        <w:numPr>
          <w:ilvl w:val="0"/>
          <w:numId w:val="13"/>
        </w:numPr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 xml:space="preserve">Ponadto, Wykonawca zapewni wszelkie konieczne materiały do zrealizowania Inwestycji, w tym materiały niezbędne do odtworzenia terenu zewnętrznego oraz powierzchni ścian, podłóg i posadzek, na których będą prowadzone prace budowlane. </w:t>
      </w:r>
    </w:p>
    <w:p w14:paraId="2CF72787" w14:textId="77777777" w:rsidR="00CD321D" w:rsidRDefault="00CD321D" w:rsidP="00CD321D">
      <w:pPr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54BEC7C5" w14:textId="77777777" w:rsidR="00CD321D" w:rsidRPr="00CD321D" w:rsidRDefault="00CD321D" w:rsidP="00CD321D">
      <w:pPr>
        <w:jc w:val="both"/>
        <w:rPr>
          <w:rFonts w:eastAsia="Times New Roman" w:cstheme="minorHAnsi"/>
          <w:b/>
          <w:bCs/>
          <w:color w:val="000000" w:themeColor="text1"/>
          <w:lang w:eastAsia="pl-PL"/>
        </w:rPr>
      </w:pPr>
      <w:r w:rsidRPr="00CD321D">
        <w:rPr>
          <w:rFonts w:eastAsia="Times New Roman" w:cstheme="minorHAnsi"/>
          <w:b/>
          <w:bCs/>
          <w:color w:val="000000" w:themeColor="text1"/>
          <w:lang w:eastAsia="pl-PL"/>
        </w:rPr>
        <w:t>Zakres zamówienia:</w:t>
      </w:r>
    </w:p>
    <w:p w14:paraId="04A5876E" w14:textId="77777777" w:rsidR="00CD321D" w:rsidRPr="00CD321D" w:rsidRDefault="00CD321D" w:rsidP="00CD321D">
      <w:pPr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3602B772" w14:textId="77777777" w:rsidR="00CD321D" w:rsidRPr="00CD321D" w:rsidRDefault="00CD321D" w:rsidP="00CD321D">
      <w:pPr>
        <w:jc w:val="both"/>
        <w:rPr>
          <w:rFonts w:eastAsia="Times New Roman" w:cstheme="minorHAnsi"/>
          <w:color w:val="000000" w:themeColor="text1"/>
          <w:lang w:eastAsia="pl-PL"/>
        </w:rPr>
      </w:pPr>
      <w:r w:rsidRPr="00CD321D">
        <w:rPr>
          <w:rFonts w:eastAsia="Times New Roman" w:cstheme="minorHAnsi"/>
          <w:color w:val="000000" w:themeColor="text1"/>
          <w:lang w:eastAsia="pl-PL"/>
        </w:rPr>
        <w:t>•</w:t>
      </w:r>
      <w:r w:rsidRPr="00CD321D">
        <w:rPr>
          <w:rFonts w:eastAsia="Times New Roman" w:cstheme="minorHAnsi"/>
          <w:color w:val="000000" w:themeColor="text1"/>
          <w:lang w:eastAsia="pl-PL"/>
        </w:rPr>
        <w:tab/>
        <w:t>dostawa, instalacja, uruchomienie oraz szkolenie z obsługi systemu,</w:t>
      </w:r>
    </w:p>
    <w:p w14:paraId="214452F4" w14:textId="51CCFFAF" w:rsidR="00CD321D" w:rsidRPr="00CD321D" w:rsidRDefault="00CD321D" w:rsidP="00CD321D">
      <w:pPr>
        <w:ind w:left="700" w:hanging="700"/>
        <w:jc w:val="both"/>
        <w:rPr>
          <w:rFonts w:eastAsia="Times New Roman" w:cstheme="minorHAnsi"/>
          <w:color w:val="000000" w:themeColor="text1"/>
          <w:lang w:eastAsia="pl-PL"/>
        </w:rPr>
      </w:pPr>
      <w:r w:rsidRPr="00CD321D">
        <w:rPr>
          <w:rFonts w:eastAsia="Times New Roman" w:cstheme="minorHAnsi"/>
          <w:color w:val="000000" w:themeColor="text1"/>
          <w:lang w:eastAsia="pl-PL"/>
        </w:rPr>
        <w:t>•</w:t>
      </w:r>
      <w:r w:rsidRPr="00CD321D">
        <w:rPr>
          <w:rFonts w:eastAsia="Times New Roman" w:cstheme="minorHAnsi"/>
          <w:color w:val="000000" w:themeColor="text1"/>
          <w:lang w:eastAsia="pl-PL"/>
        </w:rPr>
        <w:tab/>
        <w:t>integracja ze źródłami generacji, w szczególności PV</w:t>
      </w:r>
      <w:r w:rsidR="00CC7400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CD321D">
        <w:rPr>
          <w:rFonts w:eastAsia="Times New Roman" w:cstheme="minorHAnsi"/>
          <w:color w:val="000000" w:themeColor="text1"/>
          <w:lang w:eastAsia="pl-PL"/>
        </w:rPr>
        <w:t>oraz odbiorami na terenie zakładu,</w:t>
      </w:r>
    </w:p>
    <w:p w14:paraId="552F1981" w14:textId="77777777" w:rsidR="00CD321D" w:rsidRPr="00CD321D" w:rsidRDefault="00CD321D" w:rsidP="00CD321D">
      <w:pPr>
        <w:jc w:val="both"/>
        <w:rPr>
          <w:rFonts w:eastAsia="Times New Roman" w:cstheme="minorHAnsi"/>
          <w:color w:val="000000" w:themeColor="text1"/>
          <w:lang w:eastAsia="pl-PL"/>
        </w:rPr>
      </w:pPr>
      <w:r w:rsidRPr="00CD321D">
        <w:rPr>
          <w:rFonts w:eastAsia="Times New Roman" w:cstheme="minorHAnsi"/>
          <w:color w:val="000000" w:themeColor="text1"/>
          <w:lang w:eastAsia="pl-PL"/>
        </w:rPr>
        <w:t>•</w:t>
      </w:r>
      <w:r w:rsidRPr="00CD321D">
        <w:rPr>
          <w:rFonts w:eastAsia="Times New Roman" w:cstheme="minorHAnsi"/>
          <w:color w:val="000000" w:themeColor="text1"/>
          <w:lang w:eastAsia="pl-PL"/>
        </w:rPr>
        <w:tab/>
        <w:t>dedykowany EMS,</w:t>
      </w:r>
    </w:p>
    <w:p w14:paraId="0AF252EB" w14:textId="77777777" w:rsidR="00CD321D" w:rsidRPr="00CD321D" w:rsidRDefault="00CD321D" w:rsidP="00CD321D">
      <w:pPr>
        <w:jc w:val="both"/>
        <w:rPr>
          <w:rFonts w:eastAsia="Times New Roman" w:cstheme="minorHAnsi"/>
          <w:color w:val="000000" w:themeColor="text1"/>
          <w:lang w:eastAsia="pl-PL"/>
        </w:rPr>
      </w:pPr>
      <w:r w:rsidRPr="00CD321D">
        <w:rPr>
          <w:rFonts w:eastAsia="Times New Roman" w:cstheme="minorHAnsi"/>
          <w:color w:val="000000" w:themeColor="text1"/>
          <w:lang w:eastAsia="pl-PL"/>
        </w:rPr>
        <w:t>•</w:t>
      </w:r>
      <w:r w:rsidRPr="00CD321D">
        <w:rPr>
          <w:rFonts w:eastAsia="Times New Roman" w:cstheme="minorHAnsi"/>
          <w:color w:val="000000" w:themeColor="text1"/>
          <w:lang w:eastAsia="pl-PL"/>
        </w:rPr>
        <w:tab/>
        <w:t>przygotowanie dokumentacji powykonawczej,</w:t>
      </w:r>
    </w:p>
    <w:p w14:paraId="0D63A7D0" w14:textId="77777777" w:rsidR="00CD321D" w:rsidRPr="00CD321D" w:rsidRDefault="00CD321D" w:rsidP="00CD321D">
      <w:pPr>
        <w:jc w:val="both"/>
        <w:rPr>
          <w:rFonts w:eastAsia="Times New Roman" w:cstheme="minorHAnsi"/>
          <w:color w:val="000000" w:themeColor="text1"/>
          <w:lang w:eastAsia="pl-PL"/>
        </w:rPr>
      </w:pPr>
      <w:r w:rsidRPr="00CD321D">
        <w:rPr>
          <w:rFonts w:eastAsia="Times New Roman" w:cstheme="minorHAnsi"/>
          <w:color w:val="000000" w:themeColor="text1"/>
          <w:lang w:eastAsia="pl-PL"/>
        </w:rPr>
        <w:t>•</w:t>
      </w:r>
      <w:r w:rsidRPr="00CD321D">
        <w:rPr>
          <w:rFonts w:eastAsia="Times New Roman" w:cstheme="minorHAnsi"/>
          <w:color w:val="000000" w:themeColor="text1"/>
          <w:lang w:eastAsia="pl-PL"/>
        </w:rPr>
        <w:tab/>
        <w:t>pomiary elektryczne i termowizyjne,</w:t>
      </w:r>
    </w:p>
    <w:p w14:paraId="43299102" w14:textId="14E9DFC1" w:rsidR="00CD321D" w:rsidRPr="00CD321D" w:rsidRDefault="00CD321D" w:rsidP="00CD321D">
      <w:pPr>
        <w:jc w:val="both"/>
        <w:rPr>
          <w:rFonts w:eastAsia="Times New Roman" w:cstheme="minorHAnsi"/>
          <w:color w:val="000000" w:themeColor="text1"/>
          <w:lang w:eastAsia="pl-PL"/>
        </w:rPr>
      </w:pPr>
      <w:r w:rsidRPr="00CD321D">
        <w:rPr>
          <w:rFonts w:eastAsia="Times New Roman" w:cstheme="minorHAnsi"/>
          <w:color w:val="000000" w:themeColor="text1"/>
          <w:lang w:eastAsia="pl-PL"/>
        </w:rPr>
        <w:t>•</w:t>
      </w:r>
      <w:r w:rsidRPr="00CD321D">
        <w:rPr>
          <w:rFonts w:eastAsia="Times New Roman" w:cstheme="minorHAnsi"/>
          <w:color w:val="000000" w:themeColor="text1"/>
          <w:lang w:eastAsia="pl-PL"/>
        </w:rPr>
        <w:tab/>
        <w:t>gotowość do podpisania umowy serwisowej</w:t>
      </w:r>
      <w:r>
        <w:rPr>
          <w:rFonts w:eastAsia="Times New Roman" w:cstheme="minorHAnsi"/>
          <w:color w:val="000000" w:themeColor="text1"/>
          <w:lang w:eastAsia="pl-PL"/>
        </w:rPr>
        <w:t>.</w:t>
      </w:r>
    </w:p>
    <w:p w14:paraId="5FEF44F6" w14:textId="7E5709E1" w:rsidR="00CD321D" w:rsidRPr="003777A0" w:rsidRDefault="00CD321D" w:rsidP="00CD321D">
      <w:pPr>
        <w:jc w:val="both"/>
        <w:rPr>
          <w:rFonts w:eastAsia="Times New Roman" w:cstheme="minorHAnsi"/>
          <w:color w:val="000000" w:themeColor="text1"/>
          <w:lang w:eastAsia="pl-PL"/>
        </w:rPr>
      </w:pPr>
    </w:p>
    <w:bookmarkEnd w:id="0"/>
    <w:p w14:paraId="3D1F4B46" w14:textId="77777777" w:rsidR="003777A0" w:rsidRPr="003777A0" w:rsidRDefault="003777A0" w:rsidP="003777A0">
      <w:pPr>
        <w:ind w:left="720"/>
        <w:contextualSpacing/>
        <w:jc w:val="both"/>
        <w:rPr>
          <w:rFonts w:cstheme="minorHAnsi"/>
        </w:rPr>
      </w:pPr>
    </w:p>
    <w:p w14:paraId="3109071A" w14:textId="77777777" w:rsidR="003777A0" w:rsidRPr="003777A0" w:rsidRDefault="003777A0" w:rsidP="003777A0">
      <w:pPr>
        <w:jc w:val="both"/>
        <w:rPr>
          <w:rFonts w:cstheme="minorHAnsi"/>
          <w:b/>
        </w:rPr>
      </w:pPr>
      <w:r w:rsidRPr="003777A0">
        <w:rPr>
          <w:rFonts w:cstheme="minorHAnsi"/>
          <w:b/>
        </w:rPr>
        <w:t>WYMAGANIA DOTYCZĄCE URZĄDZEŃ</w:t>
      </w:r>
    </w:p>
    <w:p w14:paraId="4262451D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Wymagania podstawowe</w:t>
      </w:r>
    </w:p>
    <w:p w14:paraId="4F024D1D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Wszystkie Materiały i Urządzenia stosowane przy wykonywaniu Przedmiotu Zamówienia muszą być: </w:t>
      </w:r>
    </w:p>
    <w:p w14:paraId="26553ABD" w14:textId="77777777" w:rsidR="003777A0" w:rsidRPr="003777A0" w:rsidRDefault="003777A0" w:rsidP="003777A0">
      <w:pPr>
        <w:numPr>
          <w:ilvl w:val="0"/>
          <w:numId w:val="10"/>
        </w:numPr>
        <w:ind w:left="709" w:hanging="283"/>
        <w:contextualSpacing/>
        <w:jc w:val="both"/>
        <w:rPr>
          <w:rFonts w:cstheme="minorHAnsi"/>
        </w:rPr>
      </w:pPr>
      <w:r w:rsidRPr="003777A0">
        <w:rPr>
          <w:rFonts w:cstheme="minorHAnsi"/>
        </w:rPr>
        <w:t>nowe, dobrej jakości i nieużywane, wyprodukowane nie wcześniej niż 12 miesięcy od daty przystąpienia do realizacji Inwestycji,</w:t>
      </w:r>
    </w:p>
    <w:p w14:paraId="2EBB1909" w14:textId="77777777" w:rsidR="003777A0" w:rsidRPr="003777A0" w:rsidRDefault="003777A0" w:rsidP="003777A0">
      <w:pPr>
        <w:numPr>
          <w:ilvl w:val="0"/>
          <w:numId w:val="10"/>
        </w:numPr>
        <w:ind w:left="709" w:hanging="283"/>
        <w:contextualSpacing/>
        <w:jc w:val="both"/>
        <w:rPr>
          <w:rFonts w:cstheme="minorHAnsi"/>
        </w:rPr>
      </w:pPr>
      <w:r w:rsidRPr="003777A0">
        <w:rPr>
          <w:rFonts w:cstheme="minorHAnsi"/>
        </w:rPr>
        <w:t xml:space="preserve">najnowszej wersji, odpowiadać normom i przepisom wymienionym </w:t>
      </w:r>
      <w:r w:rsidRPr="003777A0">
        <w:rPr>
          <w:rFonts w:cstheme="minorHAnsi"/>
        </w:rPr>
        <w:br/>
        <w:t xml:space="preserve">w wymaganiach Zamawiającego, dopuszczone do obrotu i stosowania zgodnie </w:t>
      </w:r>
      <w:r w:rsidRPr="003777A0">
        <w:rPr>
          <w:rFonts w:cstheme="minorHAnsi"/>
        </w:rPr>
        <w:br/>
        <w:t xml:space="preserve">z obowiązującym prawem (w tym w szczególności Prawem budowlanym i Ustawą z dnia 16.04.2004 o wyrobach budowlanych), posiadać wymagane prawem deklaracje lub certyfikaty zgodności i oznakowanie, </w:t>
      </w:r>
    </w:p>
    <w:p w14:paraId="5ABC46D5" w14:textId="77777777" w:rsidR="003777A0" w:rsidRPr="003777A0" w:rsidRDefault="003777A0" w:rsidP="003777A0">
      <w:pPr>
        <w:numPr>
          <w:ilvl w:val="0"/>
          <w:numId w:val="10"/>
        </w:numPr>
        <w:ind w:left="709" w:hanging="283"/>
        <w:contextualSpacing/>
        <w:jc w:val="both"/>
        <w:rPr>
          <w:rFonts w:cstheme="minorHAnsi"/>
        </w:rPr>
      </w:pPr>
      <w:r w:rsidRPr="003777A0">
        <w:rPr>
          <w:rFonts w:cstheme="minorHAnsi"/>
        </w:rPr>
        <w:t>zgodne z postanowieniami umowy, zatwierdzonymi Dokumentami Wykonawcy. Należy stosować wyłącznie urządzenia posiadające serwis na terenie Polski.</w:t>
      </w:r>
    </w:p>
    <w:p w14:paraId="03F64E0C" w14:textId="77777777" w:rsidR="003777A0" w:rsidRPr="003777A0" w:rsidRDefault="003777A0" w:rsidP="003777A0">
      <w:pPr>
        <w:jc w:val="both"/>
        <w:rPr>
          <w:rFonts w:cstheme="minorHAnsi"/>
        </w:rPr>
      </w:pPr>
    </w:p>
    <w:p w14:paraId="1B1CCEB8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Przed przystąpieniem do Robót Wykonawca winien przedstawić Zamawiającemu </w:t>
      </w:r>
      <w:r w:rsidRPr="003777A0">
        <w:rPr>
          <w:rFonts w:cstheme="minorHAnsi"/>
        </w:rPr>
        <w:br/>
        <w:t>do zatwierdzenia szczegółowy wykaz materiałów, których zamierza użyć, źródła ich wytwarzania, zamawiania lub wydobywania wraz z wszelkimi świadectwami badań oraz próbkami. Wykaz materiałów winien znaleźć się w karcie technologicznej, którą Wykonawca przedłoży do zatwierdzenia Zamawiającemu przed przystąpieniem do robót.</w:t>
      </w:r>
    </w:p>
    <w:p w14:paraId="3B3330B3" w14:textId="77777777" w:rsidR="003777A0" w:rsidRPr="003777A0" w:rsidRDefault="003777A0" w:rsidP="003777A0">
      <w:pPr>
        <w:jc w:val="both"/>
        <w:rPr>
          <w:rFonts w:cstheme="minorHAnsi"/>
        </w:rPr>
      </w:pPr>
    </w:p>
    <w:p w14:paraId="35E02449" w14:textId="77777777" w:rsid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Wykonawca zobowiązany jest do prowadzenia badań materiałów, przedstawiania świadectw, atestów i aprobat technicznych w celu udokumentowania, że materiały uzyskane z dopuszczonego źródła w sposób ciągły spełniają wymagania umowy w czasie postępu robót. Podane w niniejszej SIWZ wymagania dotyczące materiałów i urządzeń są wymaganiami minimalnymi, dopuszczalne jest zastosowanie przez Wykonawcę rozwiązań o wyższym standardzie. Zastosowanie takich urządzeń i/lub materiałów o wyższym standardzie nie może być podstawą do jakichkolwiek roszczeń Wykonawcy o zwiększenie ceny wykonania przedmiotu zamówienia. </w:t>
      </w:r>
      <w:bookmarkStart w:id="1" w:name="_Toc90307677"/>
    </w:p>
    <w:p w14:paraId="72DCD584" w14:textId="77777777" w:rsidR="003777A0" w:rsidRPr="003777A0" w:rsidRDefault="003777A0" w:rsidP="003777A0">
      <w:pPr>
        <w:jc w:val="both"/>
        <w:rPr>
          <w:rFonts w:cstheme="minorHAnsi"/>
        </w:rPr>
      </w:pPr>
    </w:p>
    <w:p w14:paraId="1CF8105B" w14:textId="2BF327A9" w:rsidR="003777A0" w:rsidRPr="003777A0" w:rsidRDefault="003777A0" w:rsidP="003777A0">
      <w:pPr>
        <w:rPr>
          <w:rFonts w:cstheme="minorHAnsi"/>
          <w:b/>
          <w:u w:color="4C7FBC"/>
        </w:rPr>
      </w:pPr>
      <w:r w:rsidRPr="003777A0">
        <w:rPr>
          <w:rFonts w:cstheme="minorHAnsi"/>
          <w:b/>
          <w:u w:color="4C7FBC"/>
        </w:rPr>
        <w:t xml:space="preserve">Wymagania dotyczące </w:t>
      </w:r>
      <w:bookmarkEnd w:id="1"/>
      <w:r w:rsidRPr="003777A0">
        <w:rPr>
          <w:rFonts w:cstheme="minorHAnsi"/>
          <w:b/>
          <w:u w:color="4C7FBC"/>
        </w:rPr>
        <w:t>magazyn</w:t>
      </w:r>
      <w:r w:rsidR="00D969F7">
        <w:rPr>
          <w:rFonts w:cstheme="minorHAnsi"/>
          <w:b/>
          <w:u w:color="4C7FBC"/>
        </w:rPr>
        <w:t>ów</w:t>
      </w:r>
      <w:r w:rsidRPr="003777A0">
        <w:rPr>
          <w:rFonts w:cstheme="minorHAnsi"/>
          <w:b/>
          <w:u w:color="4C7FBC"/>
        </w:rPr>
        <w:t xml:space="preserve"> energii </w:t>
      </w:r>
    </w:p>
    <w:p w14:paraId="73984002" w14:textId="77777777" w:rsidR="003777A0" w:rsidRPr="003777A0" w:rsidRDefault="003777A0" w:rsidP="003777A0">
      <w:pPr>
        <w:rPr>
          <w:rFonts w:cstheme="minorHAnsi"/>
          <w:b/>
        </w:rPr>
      </w:pPr>
    </w:p>
    <w:p w14:paraId="4F79966A" w14:textId="6BECB67E" w:rsidR="003777A0" w:rsidRDefault="00D969F7" w:rsidP="003777A0">
      <w:pPr>
        <w:jc w:val="both"/>
        <w:rPr>
          <w:rFonts w:cs="Calibri"/>
        </w:rPr>
      </w:pPr>
      <w:r>
        <w:rPr>
          <w:rFonts w:cs="Calibri"/>
        </w:rPr>
        <w:t xml:space="preserve">4 x </w:t>
      </w:r>
      <w:r w:rsidR="00967D36" w:rsidRPr="00967D36">
        <w:rPr>
          <w:rFonts w:cs="Calibri"/>
        </w:rPr>
        <w:t>Magazyn energii o mocy min. 500 kW oraz pojemności min. 1</w:t>
      </w:r>
      <w:r>
        <w:rPr>
          <w:rFonts w:cs="Calibri"/>
        </w:rPr>
        <w:t>500</w:t>
      </w:r>
      <w:r w:rsidR="00967D36" w:rsidRPr="00967D36">
        <w:rPr>
          <w:rFonts w:cs="Calibri"/>
        </w:rPr>
        <w:t xml:space="preserve"> kWh musi być fabrycznie nowy i nieużywany oraz wolny od wad i usterek, musi być wolny od obciążeń prawami osób trzecich, musi spełniać wszystkie wymogi norm określonych w obowiązujących przepisach, musi posiadać karty gwarancyjne i instrukcje obsługi w języku polskim (jeżeli dokumentacja nie istnieje w języku polskim, musi zostać dostarczone tłumaczenie na język polski), posiadać </w:t>
      </w:r>
      <w:r w:rsidR="00967D36" w:rsidRPr="00967D36">
        <w:rPr>
          <w:rFonts w:cs="Calibri"/>
        </w:rPr>
        <w:lastRenderedPageBreak/>
        <w:t>kompletne wyposażenie fabryczne zgodne ze standardem międzynarodowym Unii Europejskiej, oraz być gotowy do natychmiastowej pracy.</w:t>
      </w:r>
      <w:r w:rsidR="00BA0AC5">
        <w:rPr>
          <w:rFonts w:cs="Calibri"/>
        </w:rPr>
        <w:t xml:space="preserve"> </w:t>
      </w:r>
    </w:p>
    <w:p w14:paraId="786C0253" w14:textId="77777777" w:rsidR="00BA0AC5" w:rsidRDefault="00BA0AC5" w:rsidP="003777A0">
      <w:pPr>
        <w:jc w:val="both"/>
        <w:rPr>
          <w:rFonts w:cs="Calibri"/>
        </w:rPr>
      </w:pPr>
    </w:p>
    <w:p w14:paraId="02B2B1A3" w14:textId="67A87F1A" w:rsidR="00BA0AC5" w:rsidRPr="003777A0" w:rsidRDefault="00BA0AC5" w:rsidP="00BA0AC5">
      <w:pPr>
        <w:rPr>
          <w:rFonts w:cs="Calibri"/>
          <w:color w:val="000000"/>
          <w:lang w:eastAsia="pl-PL"/>
        </w:rPr>
      </w:pPr>
      <w:r>
        <w:rPr>
          <w:rFonts w:cs="Calibri"/>
        </w:rPr>
        <w:t>Magazyny muszą posiadać funkcję pracy równoległej w trybie pracy on-</w:t>
      </w:r>
      <w:proofErr w:type="spellStart"/>
      <w:r>
        <w:rPr>
          <w:rFonts w:cs="Calibri"/>
        </w:rPr>
        <w:t>grid</w:t>
      </w:r>
      <w:proofErr w:type="spellEnd"/>
      <w:r>
        <w:rPr>
          <w:rFonts w:cs="Calibri"/>
        </w:rPr>
        <w:t xml:space="preserve"> oraz off-</w:t>
      </w:r>
      <w:proofErr w:type="spellStart"/>
      <w:r>
        <w:rPr>
          <w:rFonts w:cs="Calibri"/>
        </w:rPr>
        <w:t>grid</w:t>
      </w:r>
      <w:proofErr w:type="spellEnd"/>
      <w:r>
        <w:rPr>
          <w:rFonts w:cs="Calibri"/>
        </w:rPr>
        <w:t>.</w:t>
      </w:r>
    </w:p>
    <w:p w14:paraId="4ED7C0C9" w14:textId="77777777" w:rsidR="003777A0" w:rsidRPr="003777A0" w:rsidRDefault="003777A0" w:rsidP="003777A0">
      <w:pPr>
        <w:rPr>
          <w:rFonts w:cstheme="minorHAnsi"/>
          <w:b/>
        </w:rPr>
      </w:pPr>
    </w:p>
    <w:p w14:paraId="460BBA6F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2. Parametry przedmiotu zamówienia:</w:t>
      </w:r>
    </w:p>
    <w:p w14:paraId="4AFBFEE1" w14:textId="77777777" w:rsidR="003777A0" w:rsidRPr="003777A0" w:rsidRDefault="003777A0" w:rsidP="003777A0">
      <w:pPr>
        <w:jc w:val="both"/>
        <w:rPr>
          <w:rFonts w:cs="Calibri"/>
        </w:rPr>
      </w:pPr>
    </w:p>
    <w:p w14:paraId="406DCD50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Zintegrowany system magazynu energii:</w:t>
      </w:r>
    </w:p>
    <w:p w14:paraId="4F6A4C28" w14:textId="42E2C0FD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magazyn energii musi być wyposażony w: falowniki, </w:t>
      </w:r>
    </w:p>
    <w:p w14:paraId="3BF8690F" w14:textId="77777777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Porty komunikacyjne min. RS485, ETHERNET, </w:t>
      </w:r>
    </w:p>
    <w:p w14:paraId="43E325B6" w14:textId="78178749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Protokoły komunikacyjne MODBUS TCP, MQTT</w:t>
      </w:r>
      <w:r w:rsidR="00D969F7">
        <w:rPr>
          <w:rFonts w:cs="Calibri"/>
          <w:color w:val="000000"/>
          <w:lang w:eastAsia="pl-PL"/>
        </w:rPr>
        <w:t>,</w:t>
      </w:r>
    </w:p>
    <w:p w14:paraId="7C2A98F8" w14:textId="52A3FC6B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Wbudowane zabezpieczenia nad i podnapięciowe, </w:t>
      </w:r>
      <w:proofErr w:type="spellStart"/>
      <w:r w:rsidRPr="003777A0">
        <w:rPr>
          <w:rFonts w:cs="Calibri"/>
          <w:color w:val="000000"/>
          <w:lang w:eastAsia="pl-PL"/>
        </w:rPr>
        <w:t>nadmiarowoprądowe</w:t>
      </w:r>
      <w:proofErr w:type="spellEnd"/>
      <w:r w:rsidRPr="003777A0">
        <w:rPr>
          <w:rFonts w:cs="Calibri"/>
          <w:color w:val="000000"/>
          <w:lang w:eastAsia="pl-PL"/>
        </w:rPr>
        <w:t>, nad i </w:t>
      </w:r>
      <w:proofErr w:type="spellStart"/>
      <w:r w:rsidRPr="003777A0">
        <w:rPr>
          <w:rFonts w:cs="Calibri"/>
          <w:color w:val="000000"/>
          <w:lang w:eastAsia="pl-PL"/>
        </w:rPr>
        <w:t>podtemperaturowe</w:t>
      </w:r>
      <w:proofErr w:type="spellEnd"/>
      <w:r w:rsidRPr="003777A0">
        <w:rPr>
          <w:rFonts w:cs="Calibri"/>
          <w:color w:val="000000"/>
          <w:lang w:eastAsia="pl-PL"/>
        </w:rPr>
        <w:t xml:space="preserve"> oraz przeciwzwarciowe,</w:t>
      </w:r>
      <w:r w:rsidR="00647809" w:rsidRPr="00647809">
        <w:rPr>
          <w:rFonts w:cs="Calibri"/>
          <w:color w:val="000000"/>
          <w:lang w:eastAsia="pl-PL"/>
        </w:rPr>
        <w:t xml:space="preserve"> </w:t>
      </w:r>
      <w:r w:rsidR="00647809" w:rsidRPr="003777A0">
        <w:rPr>
          <w:rFonts w:cs="Calibri"/>
          <w:color w:val="000000"/>
          <w:lang w:eastAsia="pl-PL"/>
        </w:rPr>
        <w:t>przeciwprzepięciowe</w:t>
      </w:r>
      <w:r w:rsidR="00D969F7">
        <w:rPr>
          <w:rFonts w:cs="Calibri"/>
          <w:color w:val="000000"/>
          <w:lang w:eastAsia="pl-PL"/>
        </w:rPr>
        <w:t>,</w:t>
      </w:r>
    </w:p>
    <w:p w14:paraId="093B6AD7" w14:textId="132A2396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t>Stopień ochrony IP54</w:t>
      </w:r>
      <w:r w:rsidR="00D969F7">
        <w:t>,</w:t>
      </w:r>
      <w:r w:rsidRPr="003777A0">
        <w:t xml:space="preserve"> </w:t>
      </w:r>
    </w:p>
    <w:p w14:paraId="5B18DDF3" w14:textId="1DD1C2C8" w:rsid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sprawność falownika min 97.5%,</w:t>
      </w:r>
      <w:r w:rsidR="00FF53B9">
        <w:rPr>
          <w:rFonts w:cs="Calibri"/>
          <w:color w:val="000000"/>
          <w:lang w:eastAsia="pl-PL"/>
        </w:rPr>
        <w:t xml:space="preserve"> dla punktu znamionowego </w:t>
      </w:r>
      <w:r w:rsidR="00A9046B">
        <w:rPr>
          <w:rFonts w:cs="Calibri"/>
          <w:color w:val="000000"/>
          <w:lang w:eastAsia="pl-PL"/>
        </w:rPr>
        <w:t>pracy</w:t>
      </w:r>
      <w:r w:rsidR="00D969F7">
        <w:rPr>
          <w:rFonts w:cs="Calibri"/>
          <w:color w:val="000000"/>
          <w:lang w:eastAsia="pl-PL"/>
        </w:rPr>
        <w:t>,</w:t>
      </w:r>
    </w:p>
    <w:p w14:paraId="25D1D6CE" w14:textId="7BC3B3B3" w:rsidR="00A9046B" w:rsidRDefault="00A9046B" w:rsidP="003777A0">
      <w:pPr>
        <w:numPr>
          <w:ilvl w:val="0"/>
          <w:numId w:val="18"/>
        </w:numPr>
        <w:spacing w:after="200" w:line="276" w:lineRule="auto"/>
        <w:contextualSpacing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minimalna moc pojedynczego modułu falownika </w:t>
      </w:r>
      <w:r w:rsidR="00D969F7">
        <w:rPr>
          <w:rFonts w:cs="Calibri"/>
          <w:color w:val="000000"/>
          <w:lang w:eastAsia="pl-PL"/>
        </w:rPr>
        <w:t>500</w:t>
      </w:r>
      <w:r>
        <w:rPr>
          <w:rFonts w:cs="Calibri"/>
          <w:color w:val="000000"/>
          <w:lang w:eastAsia="pl-PL"/>
        </w:rPr>
        <w:t>kW</w:t>
      </w:r>
      <w:r w:rsidR="00D969F7">
        <w:rPr>
          <w:rFonts w:cs="Calibri"/>
          <w:color w:val="000000"/>
          <w:lang w:eastAsia="pl-PL"/>
        </w:rPr>
        <w:t>,</w:t>
      </w:r>
    </w:p>
    <w:p w14:paraId="1F36211E" w14:textId="5DBBEF1D" w:rsidR="00217AB5" w:rsidRPr="00217AB5" w:rsidRDefault="00217AB5" w:rsidP="00217AB5">
      <w:pPr>
        <w:numPr>
          <w:ilvl w:val="0"/>
          <w:numId w:val="18"/>
        </w:numPr>
        <w:spacing w:after="200" w:line="276" w:lineRule="auto"/>
        <w:contextualSpacing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falownik musi posiadać </w:t>
      </w:r>
      <w:r w:rsidRPr="00217AB5">
        <w:rPr>
          <w:rFonts w:cs="Calibri"/>
          <w:color w:val="000000"/>
          <w:lang w:eastAsia="pl-PL"/>
        </w:rPr>
        <w:t>transformator separujący</w:t>
      </w:r>
      <w:r>
        <w:rPr>
          <w:rFonts w:cs="Calibri"/>
          <w:color w:val="000000"/>
          <w:lang w:eastAsia="pl-PL"/>
        </w:rPr>
        <w:t>,</w:t>
      </w:r>
    </w:p>
    <w:p w14:paraId="04BFC465" w14:textId="08A32B42" w:rsidR="00C86E55" w:rsidRPr="003777A0" w:rsidRDefault="00C86E55" w:rsidP="003777A0">
      <w:pPr>
        <w:numPr>
          <w:ilvl w:val="0"/>
          <w:numId w:val="18"/>
        </w:numPr>
        <w:spacing w:line="276" w:lineRule="auto"/>
        <w:contextualSpacing/>
      </w:pPr>
      <w:r w:rsidRPr="00C86E55">
        <w:t xml:space="preserve">możliwość przeciążenia 10% </w:t>
      </w:r>
      <w:r w:rsidRPr="003777A0">
        <w:t>długoterminowo</w:t>
      </w:r>
      <w:r w:rsidRPr="00C86E55">
        <w:t xml:space="preserve"> do 10 minut i 20% do 1 minuty</w:t>
      </w:r>
      <w:r>
        <w:t>,</w:t>
      </w:r>
    </w:p>
    <w:p w14:paraId="14C85B04" w14:textId="16AFC5BF" w:rsid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praca w trybie on-</w:t>
      </w:r>
      <w:proofErr w:type="spellStart"/>
      <w:r w:rsidRPr="003777A0">
        <w:rPr>
          <w:rFonts w:cs="Calibri"/>
          <w:color w:val="000000"/>
          <w:lang w:eastAsia="pl-PL"/>
        </w:rPr>
        <w:t>grid</w:t>
      </w:r>
      <w:proofErr w:type="spellEnd"/>
      <w:r w:rsidR="00D969F7">
        <w:rPr>
          <w:rFonts w:cs="Calibri"/>
          <w:color w:val="000000"/>
          <w:lang w:eastAsia="pl-PL"/>
        </w:rPr>
        <w:t>, off-</w:t>
      </w:r>
      <w:proofErr w:type="spellStart"/>
      <w:r w:rsidR="00D969F7">
        <w:rPr>
          <w:rFonts w:cs="Calibri"/>
          <w:color w:val="000000"/>
          <w:lang w:eastAsia="pl-PL"/>
        </w:rPr>
        <w:t>grid</w:t>
      </w:r>
      <w:proofErr w:type="spellEnd"/>
      <w:r w:rsidR="00D969F7">
        <w:rPr>
          <w:rFonts w:cs="Calibri"/>
          <w:color w:val="000000"/>
          <w:lang w:eastAsia="pl-PL"/>
        </w:rPr>
        <w:t>,</w:t>
      </w:r>
    </w:p>
    <w:p w14:paraId="2B17D3E3" w14:textId="0D2FD220" w:rsidR="00217AB5" w:rsidRDefault="00217AB5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falownik w trybie pracy off-</w:t>
      </w:r>
      <w:proofErr w:type="spellStart"/>
      <w:r>
        <w:rPr>
          <w:rFonts w:cs="Calibri"/>
          <w:color w:val="000000"/>
          <w:lang w:eastAsia="pl-PL"/>
        </w:rPr>
        <w:t>grid</w:t>
      </w:r>
      <w:proofErr w:type="spellEnd"/>
      <w:r>
        <w:rPr>
          <w:rFonts w:cs="Calibri"/>
          <w:color w:val="000000"/>
          <w:lang w:eastAsia="pl-PL"/>
        </w:rPr>
        <w:t xml:space="preserve"> musi zapewnić zasilanie odbiorów niesymetrycznych,</w:t>
      </w:r>
    </w:p>
    <w:p w14:paraId="07BC8DEF" w14:textId="63348F7E" w:rsidR="00CC2B8D" w:rsidRDefault="00CC2B8D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CC2B8D">
        <w:rPr>
          <w:rFonts w:cs="Calibri"/>
          <w:color w:val="000000"/>
          <w:lang w:eastAsia="pl-PL"/>
        </w:rPr>
        <w:t>możliwość pracy w synchronizacji, funkcja „</w:t>
      </w:r>
      <w:proofErr w:type="spellStart"/>
      <w:r w:rsidRPr="00CC2B8D">
        <w:rPr>
          <w:rFonts w:cs="Calibri"/>
          <w:color w:val="000000"/>
          <w:lang w:eastAsia="pl-PL"/>
        </w:rPr>
        <w:t>power</w:t>
      </w:r>
      <w:proofErr w:type="spellEnd"/>
      <w:r w:rsidRPr="00CC2B8D">
        <w:rPr>
          <w:rFonts w:cs="Calibri"/>
          <w:color w:val="000000"/>
          <w:lang w:eastAsia="pl-PL"/>
        </w:rPr>
        <w:t xml:space="preserve"> </w:t>
      </w:r>
      <w:proofErr w:type="spellStart"/>
      <w:r w:rsidRPr="00CC2B8D">
        <w:rPr>
          <w:rFonts w:cs="Calibri"/>
          <w:color w:val="000000"/>
          <w:lang w:eastAsia="pl-PL"/>
        </w:rPr>
        <w:t>sharing</w:t>
      </w:r>
      <w:proofErr w:type="spellEnd"/>
      <w:r w:rsidRPr="00CC2B8D">
        <w:rPr>
          <w:rFonts w:cs="Calibri"/>
          <w:color w:val="000000"/>
          <w:lang w:eastAsia="pl-PL"/>
        </w:rPr>
        <w:t>” (moc czynna i pozorna)</w:t>
      </w:r>
      <w:r>
        <w:rPr>
          <w:rFonts w:cs="Calibri"/>
          <w:color w:val="000000"/>
          <w:lang w:eastAsia="pl-PL"/>
        </w:rPr>
        <w:t>,</w:t>
      </w:r>
    </w:p>
    <w:p w14:paraId="12AE3BE3" w14:textId="495332AF" w:rsidR="00CC2B8D" w:rsidRDefault="00CC2B8D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CC2B8D">
        <w:rPr>
          <w:rFonts w:cs="Calibri"/>
          <w:color w:val="000000"/>
          <w:lang w:eastAsia="pl-PL"/>
        </w:rPr>
        <w:t>funkcja utrzymania stałego obciążenia źródła zasilania, niezależnie od mocy</w:t>
      </w:r>
      <w:r>
        <w:rPr>
          <w:rFonts w:cs="Calibri"/>
          <w:color w:val="000000"/>
          <w:lang w:eastAsia="pl-PL"/>
        </w:rPr>
        <w:t xml:space="preserve"> </w:t>
      </w:r>
      <w:r w:rsidRPr="00CC2B8D">
        <w:rPr>
          <w:rFonts w:cs="Calibri"/>
          <w:color w:val="000000"/>
          <w:lang w:eastAsia="pl-PL"/>
        </w:rPr>
        <w:t>odbiorników, z uwzględnieniem możliwości ładowania mocą zwrotną od strony odbiorników</w:t>
      </w:r>
      <w:r>
        <w:rPr>
          <w:rFonts w:cs="Calibri"/>
          <w:color w:val="000000"/>
          <w:lang w:eastAsia="pl-PL"/>
        </w:rPr>
        <w:t>,</w:t>
      </w:r>
    </w:p>
    <w:p w14:paraId="59953DAC" w14:textId="78E867D8" w:rsidR="00D969F7" w:rsidRDefault="00D969F7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falownik musi być wyposażony w bypass remontowy oraz tyrystorowy,</w:t>
      </w:r>
    </w:p>
    <w:p w14:paraId="07222347" w14:textId="7DB38460" w:rsidR="00D969F7" w:rsidRPr="003777A0" w:rsidRDefault="00D969F7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magazyn energii musi posiadać funkcję UPS z możliwo</w:t>
      </w:r>
      <w:r w:rsidR="00707769">
        <w:rPr>
          <w:rFonts w:cs="Calibri"/>
          <w:color w:val="000000"/>
          <w:lang w:eastAsia="pl-PL"/>
        </w:rPr>
        <w:t>ścią przełączania się w czasie 4 ms,</w:t>
      </w:r>
    </w:p>
    <w:p w14:paraId="65586811" w14:textId="0CAA3E5F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zgodność z NC </w:t>
      </w:r>
      <w:proofErr w:type="spellStart"/>
      <w:r w:rsidRPr="003777A0">
        <w:rPr>
          <w:rFonts w:cs="Calibri"/>
          <w:color w:val="000000"/>
          <w:lang w:eastAsia="pl-PL"/>
        </w:rPr>
        <w:t>RfG</w:t>
      </w:r>
      <w:proofErr w:type="spellEnd"/>
      <w:r w:rsidR="00D969F7">
        <w:rPr>
          <w:rFonts w:cs="Calibri"/>
          <w:color w:val="000000"/>
          <w:lang w:eastAsia="pl-PL"/>
        </w:rPr>
        <w:t>,</w:t>
      </w:r>
    </w:p>
    <w:p w14:paraId="0B9D362F" w14:textId="77777777" w:rsid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falownik musi znajdować się w wykazie certyfikowanych urządzeń publikowanym przez </w:t>
      </w:r>
      <w:proofErr w:type="spellStart"/>
      <w:r w:rsidRPr="003777A0">
        <w:rPr>
          <w:rFonts w:cs="Calibri"/>
          <w:color w:val="000000"/>
          <w:lang w:eastAsia="pl-PL"/>
        </w:rPr>
        <w:t>PTPiREE</w:t>
      </w:r>
      <w:proofErr w:type="spellEnd"/>
      <w:r w:rsidRPr="003777A0">
        <w:rPr>
          <w:rFonts w:cs="Calibri"/>
          <w:color w:val="000000"/>
          <w:lang w:eastAsia="pl-PL"/>
        </w:rPr>
        <w:t>,</w:t>
      </w:r>
    </w:p>
    <w:p w14:paraId="37C5B259" w14:textId="3CD6031F" w:rsidR="00707769" w:rsidRPr="003777A0" w:rsidRDefault="00707769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falownik musi mieć możliwo</w:t>
      </w:r>
      <w:r w:rsidR="00D625B1">
        <w:rPr>
          <w:rFonts w:cs="Calibri"/>
          <w:color w:val="000000"/>
          <w:lang w:eastAsia="pl-PL"/>
        </w:rPr>
        <w:t xml:space="preserve">ść dokonywania nastaw parametrów wymaganych przez NC </w:t>
      </w:r>
      <w:proofErr w:type="spellStart"/>
      <w:r w:rsidR="00D625B1">
        <w:rPr>
          <w:rFonts w:cs="Calibri"/>
          <w:color w:val="000000"/>
          <w:lang w:eastAsia="pl-PL"/>
        </w:rPr>
        <w:t>Rfg</w:t>
      </w:r>
      <w:proofErr w:type="spellEnd"/>
      <w:r w:rsidR="00D625B1">
        <w:rPr>
          <w:rFonts w:cs="Calibri"/>
          <w:color w:val="000000"/>
          <w:lang w:eastAsia="pl-PL"/>
        </w:rPr>
        <w:t>,</w:t>
      </w:r>
    </w:p>
    <w:p w14:paraId="29347308" w14:textId="64639A43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Minimalna liczba cykli: minimum </w:t>
      </w:r>
      <w:r w:rsidR="007D78BA">
        <w:rPr>
          <w:rFonts w:cs="Calibri"/>
          <w:color w:val="000000"/>
          <w:lang w:eastAsia="pl-PL"/>
        </w:rPr>
        <w:t>8</w:t>
      </w:r>
      <w:r w:rsidRPr="003777A0">
        <w:rPr>
          <w:rFonts w:cs="Calibri"/>
          <w:color w:val="000000"/>
          <w:lang w:eastAsia="pl-PL"/>
        </w:rPr>
        <w:t> 000 cykli pracy dla głębokości rozładowania 95% dla temperatury pracy 25C,</w:t>
      </w:r>
    </w:p>
    <w:p w14:paraId="5C2DB818" w14:textId="7942902E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Przewidywana żywotność baterii minimum </w:t>
      </w:r>
      <w:r w:rsidR="007D78BA">
        <w:rPr>
          <w:rFonts w:cs="Calibri"/>
          <w:color w:val="000000"/>
          <w:lang w:eastAsia="pl-PL"/>
        </w:rPr>
        <w:t>22</w:t>
      </w:r>
      <w:r w:rsidRPr="003777A0">
        <w:rPr>
          <w:rFonts w:cs="Calibri"/>
          <w:color w:val="000000"/>
          <w:lang w:eastAsia="pl-PL"/>
        </w:rPr>
        <w:t xml:space="preserve"> lat</w:t>
      </w:r>
      <w:r w:rsidR="007D78BA">
        <w:rPr>
          <w:rFonts w:cs="Calibri"/>
          <w:color w:val="000000"/>
          <w:lang w:eastAsia="pl-PL"/>
        </w:rPr>
        <w:t>a</w:t>
      </w:r>
      <w:r w:rsidRPr="003777A0">
        <w:rPr>
          <w:rFonts w:cs="Calibri"/>
          <w:color w:val="000000"/>
          <w:lang w:eastAsia="pl-PL"/>
        </w:rPr>
        <w:t xml:space="preserve"> (przy założeniu jednego cyklu dziennie),(*0% SOH EOL)</w:t>
      </w:r>
      <w:r w:rsidR="00D625B1">
        <w:rPr>
          <w:rFonts w:cs="Calibri"/>
          <w:color w:val="000000"/>
          <w:lang w:eastAsia="pl-PL"/>
        </w:rPr>
        <w:t>,</w:t>
      </w:r>
    </w:p>
    <w:p w14:paraId="60FC67C7" w14:textId="2B98EC01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Wilgotność względna 0-95 %</w:t>
      </w:r>
      <w:r w:rsidR="00D625B1">
        <w:rPr>
          <w:rFonts w:cs="Calibri"/>
          <w:color w:val="000000"/>
          <w:lang w:eastAsia="pl-PL"/>
        </w:rPr>
        <w:t>,</w:t>
      </w:r>
    </w:p>
    <w:p w14:paraId="1C5BB78E" w14:textId="24A299F6" w:rsidR="00583585" w:rsidRPr="003777A0" w:rsidRDefault="00583585" w:rsidP="00583585">
      <w:pPr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Wbudowany BMS, który kontroluje ładowanie magazynu energii </w:t>
      </w:r>
      <w:r>
        <w:rPr>
          <w:rFonts w:cs="Calibri"/>
          <w:color w:val="000000"/>
          <w:lang w:eastAsia="pl-PL"/>
        </w:rPr>
        <w:t xml:space="preserve">na trzech poziomach (celki, modułu i </w:t>
      </w:r>
      <w:proofErr w:type="spellStart"/>
      <w:r>
        <w:rPr>
          <w:rFonts w:cs="Calibri"/>
          <w:color w:val="000000"/>
          <w:lang w:eastAsia="pl-PL"/>
        </w:rPr>
        <w:t>racka</w:t>
      </w:r>
      <w:proofErr w:type="spellEnd"/>
      <w:r>
        <w:rPr>
          <w:rFonts w:cs="Calibri"/>
          <w:color w:val="000000"/>
          <w:lang w:eastAsia="pl-PL"/>
        </w:rPr>
        <w:t>)</w:t>
      </w:r>
      <w:r w:rsidR="00D625B1">
        <w:rPr>
          <w:rFonts w:cs="Calibri"/>
          <w:color w:val="000000"/>
          <w:lang w:eastAsia="pl-PL"/>
        </w:rPr>
        <w:t>,</w:t>
      </w:r>
    </w:p>
    <w:p w14:paraId="29ECFB83" w14:textId="2E486985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cs="Times New Roman"/>
          <w:sz w:val="22"/>
          <w:szCs w:val="22"/>
        </w:rPr>
      </w:pPr>
      <w:r w:rsidRPr="003777A0">
        <w:rPr>
          <w:rFonts w:cs="Calibri"/>
          <w:color w:val="000000"/>
          <w:lang w:eastAsia="pl-PL"/>
        </w:rPr>
        <w:t>Zabezpieczenie termiczne i przeciwzwarciowe każdego modułu bateryjnego indywidualnie</w:t>
      </w:r>
      <w:r w:rsidR="00D625B1">
        <w:rPr>
          <w:rFonts w:cs="Calibri"/>
          <w:color w:val="000000"/>
          <w:lang w:eastAsia="pl-PL"/>
        </w:rPr>
        <w:t>,</w:t>
      </w:r>
    </w:p>
    <w:p w14:paraId="0379977A" w14:textId="4BE7A024" w:rsidR="003777A0" w:rsidRDefault="003777A0" w:rsidP="007D50E3">
      <w:pPr>
        <w:numPr>
          <w:ilvl w:val="0"/>
          <w:numId w:val="18"/>
        </w:numPr>
        <w:spacing w:after="200" w:line="276" w:lineRule="auto"/>
        <w:contextualSpacing/>
      </w:pPr>
      <w:r w:rsidRPr="003777A0">
        <w:t>typ ogniwa:</w:t>
      </w:r>
      <w:r w:rsidR="00247D91">
        <w:rPr>
          <w:rFonts w:ascii="Aptos" w:hAnsi="Aptos"/>
          <w:color w:val="000000"/>
          <w:shd w:val="clear" w:color="auto" w:fill="FFFFFF"/>
        </w:rPr>
        <w:t xml:space="preserve"> z hybrydowym półstałym elektrolitem (</w:t>
      </w:r>
      <w:proofErr w:type="spellStart"/>
      <w:r w:rsidR="00247D91">
        <w:rPr>
          <w:rFonts w:ascii="Aptos" w:hAnsi="Aptos"/>
          <w:color w:val="000000"/>
          <w:shd w:val="clear" w:color="auto" w:fill="FFFFFF"/>
        </w:rPr>
        <w:t>hybrid</w:t>
      </w:r>
      <w:proofErr w:type="spellEnd"/>
      <w:r w:rsidR="00247D91">
        <w:rPr>
          <w:rFonts w:ascii="Aptos" w:hAnsi="Aptos"/>
          <w:color w:val="000000"/>
          <w:shd w:val="clear" w:color="auto" w:fill="FFFFFF"/>
        </w:rPr>
        <w:t xml:space="preserve"> solid </w:t>
      </w:r>
      <w:proofErr w:type="spellStart"/>
      <w:r w:rsidR="00247D91">
        <w:rPr>
          <w:rFonts w:ascii="Aptos" w:hAnsi="Aptos"/>
          <w:color w:val="000000"/>
          <w:shd w:val="clear" w:color="auto" w:fill="FFFFFF"/>
        </w:rPr>
        <w:t>liquid</w:t>
      </w:r>
      <w:proofErr w:type="spellEnd"/>
      <w:r w:rsidR="00247D91">
        <w:rPr>
          <w:rFonts w:ascii="Aptos" w:hAnsi="Aptos"/>
          <w:color w:val="000000"/>
          <w:shd w:val="clear" w:color="auto" w:fill="FFFFFF"/>
        </w:rPr>
        <w:t xml:space="preserve"> </w:t>
      </w:r>
      <w:proofErr w:type="spellStart"/>
      <w:r w:rsidR="00247D91">
        <w:rPr>
          <w:rFonts w:ascii="Aptos" w:hAnsi="Aptos"/>
          <w:color w:val="000000"/>
          <w:shd w:val="clear" w:color="auto" w:fill="FFFFFF"/>
        </w:rPr>
        <w:t>electrolyte</w:t>
      </w:r>
      <w:proofErr w:type="spellEnd"/>
      <w:r w:rsidR="00247D91">
        <w:rPr>
          <w:rFonts w:ascii="Aptos" w:hAnsi="Aptos"/>
          <w:color w:val="000000"/>
          <w:shd w:val="clear" w:color="auto" w:fill="FFFFFF"/>
        </w:rPr>
        <w:t>)</w:t>
      </w:r>
      <w:r w:rsidRPr="003777A0">
        <w:t>,</w:t>
      </w:r>
      <w:r w:rsidR="002208E4">
        <w:t xml:space="preserve"> 314 Ah</w:t>
      </w:r>
      <w:r w:rsidR="00D625B1">
        <w:t>,</w:t>
      </w:r>
    </w:p>
    <w:p w14:paraId="689F76B6" w14:textId="779AA2BC" w:rsidR="003D0118" w:rsidRDefault="002208E4" w:rsidP="002208E4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>Sprawność baterii 94% (RTE)</w:t>
      </w:r>
      <w:r w:rsidR="00D625B1">
        <w:t>,</w:t>
      </w:r>
    </w:p>
    <w:p w14:paraId="038DFB8C" w14:textId="0261F7D1" w:rsidR="00D17B3E" w:rsidRPr="003777A0" w:rsidRDefault="00D17B3E" w:rsidP="00D17B3E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>obudowa kompozytowa modułu baterii</w:t>
      </w:r>
      <w:r w:rsidR="00D625B1">
        <w:t>,</w:t>
      </w:r>
    </w:p>
    <w:p w14:paraId="6AB4D05A" w14:textId="54380D3C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lastRenderedPageBreak/>
        <w:t>chłodzenie ogniw</w:t>
      </w:r>
      <w:r w:rsidR="000F2429">
        <w:t>/modułów</w:t>
      </w:r>
      <w:r w:rsidRPr="003777A0">
        <w:t xml:space="preserve"> cieczą,</w:t>
      </w:r>
    </w:p>
    <w:p w14:paraId="35A9ECE7" w14:textId="2E44BAF1" w:rsidR="003777A0" w:rsidRPr="000F2429" w:rsidRDefault="00FF53B9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>
        <w:t xml:space="preserve">zabudowa w </w:t>
      </w:r>
      <w:r w:rsidR="003777A0" w:rsidRPr="003777A0">
        <w:t xml:space="preserve">dedykowanych </w:t>
      </w:r>
      <w:r w:rsidR="00D625B1">
        <w:t xml:space="preserve">kontenerach 20 </w:t>
      </w:r>
      <w:proofErr w:type="spellStart"/>
      <w:r w:rsidR="00D625B1">
        <w:t>ft</w:t>
      </w:r>
      <w:proofErr w:type="spellEnd"/>
      <w:r w:rsidR="00D625B1">
        <w:t xml:space="preserve"> HC,</w:t>
      </w:r>
    </w:p>
    <w:p w14:paraId="52F23C73" w14:textId="77777777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 xml:space="preserve">zintegrowany automatyczny system detekcji pożaru oraz gaszenia ogniw, </w:t>
      </w:r>
    </w:p>
    <w:p w14:paraId="3205DC26" w14:textId="77777777" w:rsid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zabudowane przyłącze hydrantu strażackiego,</w:t>
      </w:r>
    </w:p>
    <w:p w14:paraId="13906447" w14:textId="1D0B5B43" w:rsidR="00D625B1" w:rsidRDefault="00D625B1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 xml:space="preserve">zabudowana centralka </w:t>
      </w:r>
      <w:proofErr w:type="spellStart"/>
      <w:r>
        <w:t>ppoż</w:t>
      </w:r>
      <w:proofErr w:type="spellEnd"/>
      <w:r>
        <w:t xml:space="preserve"> z możliwością wpięcia się do systemu nadrzędnego,</w:t>
      </w:r>
    </w:p>
    <w:p w14:paraId="566DF1A4" w14:textId="76B396EB" w:rsidR="007F7022" w:rsidRPr="003777A0" w:rsidRDefault="007F7022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 xml:space="preserve">system gaszenia oparty o </w:t>
      </w:r>
      <w:r w:rsidR="00D625B1">
        <w:t>gaśnicę gazową (gaz PERFLUORO),</w:t>
      </w:r>
    </w:p>
    <w:p w14:paraId="25DB6583" w14:textId="77777777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sygnalizacja świetlna oraz dźwiękowa pożaru,</w:t>
      </w:r>
    </w:p>
    <w:p w14:paraId="6CD225E8" w14:textId="77777777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mechanizm odgazowania gazów wybuchowych w modułach bateryjnych oraz obudowie,</w:t>
      </w:r>
    </w:p>
    <w:p w14:paraId="43CAA8D4" w14:textId="6E32CB91" w:rsidR="003777A0" w:rsidRDefault="003777A0" w:rsidP="000F2429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możliwość rozbudowy systemu,</w:t>
      </w:r>
    </w:p>
    <w:p w14:paraId="58CB7D85" w14:textId="6C68F877" w:rsidR="00865447" w:rsidRPr="000F2429" w:rsidRDefault="00865447" w:rsidP="00865447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>Niewymagane kontrole szczelności układu chłodzenia zgodnie z art. 5 rozporządzenia (UE) 2024/573</w:t>
      </w:r>
    </w:p>
    <w:p w14:paraId="4A280F4A" w14:textId="368C4B54" w:rsidR="003777A0" w:rsidRDefault="00A83D77" w:rsidP="004042DB">
      <w:pPr>
        <w:numPr>
          <w:ilvl w:val="0"/>
          <w:numId w:val="18"/>
        </w:numPr>
        <w:contextualSpacing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Zabezpieczenie antykorozyjne powierzchni minimum klasa C3</w:t>
      </w:r>
    </w:p>
    <w:p w14:paraId="17417EF0" w14:textId="77777777" w:rsidR="004042DB" w:rsidRPr="004042DB" w:rsidRDefault="004042DB" w:rsidP="004042DB">
      <w:pPr>
        <w:ind w:left="928"/>
        <w:contextualSpacing/>
        <w:rPr>
          <w:rFonts w:eastAsia="Times New Roman" w:cstheme="minorHAnsi"/>
          <w:lang w:eastAsia="pl-PL"/>
        </w:rPr>
      </w:pPr>
    </w:p>
    <w:p w14:paraId="7DDF722E" w14:textId="77777777" w:rsidR="003777A0" w:rsidRPr="003777A0" w:rsidRDefault="003777A0" w:rsidP="003777A0">
      <w:pPr>
        <w:autoSpaceDE w:val="0"/>
        <w:autoSpaceDN w:val="0"/>
        <w:adjustRightInd w:val="0"/>
        <w:jc w:val="both"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W przypadku zastosowania falownika należy spełnić wszelkie wymagania OSD </w:t>
      </w:r>
    </w:p>
    <w:p w14:paraId="002C48EC" w14:textId="77777777" w:rsidR="003777A0" w:rsidRPr="003777A0" w:rsidRDefault="003777A0" w:rsidP="003777A0">
      <w:pPr>
        <w:autoSpaceDE w:val="0"/>
        <w:autoSpaceDN w:val="0"/>
        <w:adjustRightInd w:val="0"/>
        <w:jc w:val="both"/>
        <w:rPr>
          <w:rFonts w:cs="Calibri"/>
        </w:rPr>
      </w:pPr>
    </w:p>
    <w:p w14:paraId="3DF6431A" w14:textId="0A8F1DB0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3. Test i uruchomienie instalacji</w:t>
      </w:r>
    </w:p>
    <w:p w14:paraId="2B790D39" w14:textId="77777777" w:rsidR="003777A0" w:rsidRPr="003777A0" w:rsidRDefault="003777A0" w:rsidP="003777A0">
      <w:pPr>
        <w:jc w:val="both"/>
        <w:rPr>
          <w:rFonts w:cs="Calibri"/>
        </w:rPr>
      </w:pPr>
    </w:p>
    <w:p w14:paraId="5DFCFE39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a) pomiary elektryczne i termowizyjne,</w:t>
      </w:r>
    </w:p>
    <w:p w14:paraId="4DB1CB97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b) gotowość do podpisania umowy serwisowej,</w:t>
      </w:r>
    </w:p>
    <w:p w14:paraId="38DC3580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d) Pomiar ciągłości izolacji instalacji</w:t>
      </w:r>
    </w:p>
    <w:p w14:paraId="72FD3A93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e) Pomiar rezystancji uziemienia</w:t>
      </w:r>
    </w:p>
    <w:p w14:paraId="77BD19C0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f) Sprawdzenie napięcia głównego zasilania</w:t>
      </w:r>
    </w:p>
    <w:p w14:paraId="2C91E0CC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g) Uruchomienie instalacji</w:t>
      </w:r>
    </w:p>
    <w:p w14:paraId="7369CA4C" w14:textId="77777777" w:rsidR="003777A0" w:rsidRPr="003777A0" w:rsidRDefault="003777A0" w:rsidP="003777A0">
      <w:pPr>
        <w:jc w:val="both"/>
        <w:rPr>
          <w:rFonts w:cs="Calibri"/>
        </w:rPr>
      </w:pPr>
    </w:p>
    <w:p w14:paraId="3C82BDCB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Wymagania normatywno-prawne:</w:t>
      </w:r>
    </w:p>
    <w:p w14:paraId="7EB7FC12" w14:textId="77777777" w:rsidR="003777A0" w:rsidRPr="003777A0" w:rsidRDefault="003777A0" w:rsidP="003777A0">
      <w:pPr>
        <w:jc w:val="both"/>
        <w:rPr>
          <w:rFonts w:cs="Calibri"/>
        </w:rPr>
      </w:pPr>
    </w:p>
    <w:p w14:paraId="734E2AE2" w14:textId="77777777" w:rsidR="003777A0" w:rsidRPr="00647809" w:rsidRDefault="003777A0" w:rsidP="003777A0">
      <w:pPr>
        <w:jc w:val="both"/>
        <w:rPr>
          <w:rFonts w:cs="Calibri"/>
        </w:rPr>
      </w:pPr>
      <w:r w:rsidRPr="00647809">
        <w:rPr>
          <w:rFonts w:cs="Calibri"/>
        </w:rPr>
        <w:t>Certyfikaty:</w:t>
      </w:r>
    </w:p>
    <w:p w14:paraId="18D0131F" w14:textId="77777777" w:rsidR="003777A0" w:rsidRPr="00647809" w:rsidRDefault="003777A0" w:rsidP="003777A0">
      <w:pPr>
        <w:jc w:val="both"/>
        <w:rPr>
          <w:rFonts w:cs="Calibri"/>
        </w:rPr>
      </w:pPr>
      <w:r w:rsidRPr="00647809">
        <w:rPr>
          <w:rFonts w:cs="Calibri"/>
        </w:rPr>
        <w:t>UN 38.3</w:t>
      </w:r>
    </w:p>
    <w:p w14:paraId="017A38D9" w14:textId="77777777" w:rsidR="003777A0" w:rsidRPr="003777A0" w:rsidRDefault="003777A0" w:rsidP="003777A0">
      <w:pPr>
        <w:jc w:val="both"/>
        <w:rPr>
          <w:rFonts w:cs="Calibri"/>
          <w:lang w:val="en-US"/>
        </w:rPr>
      </w:pPr>
      <w:r w:rsidRPr="003777A0">
        <w:rPr>
          <w:rFonts w:cs="Calibri"/>
          <w:lang w:val="en-US"/>
        </w:rPr>
        <w:t>IEC 62619</w:t>
      </w:r>
    </w:p>
    <w:p w14:paraId="48E3933B" w14:textId="77777777" w:rsidR="003777A0" w:rsidRPr="003777A0" w:rsidRDefault="003777A0" w:rsidP="003777A0">
      <w:pPr>
        <w:jc w:val="both"/>
        <w:rPr>
          <w:rFonts w:cs="Calibri"/>
          <w:lang w:val="en-US"/>
        </w:rPr>
      </w:pPr>
      <w:r w:rsidRPr="003777A0">
        <w:rPr>
          <w:rFonts w:cs="Calibri"/>
          <w:lang w:val="en-US"/>
        </w:rPr>
        <w:t>EN 50549</w:t>
      </w:r>
    </w:p>
    <w:p w14:paraId="5D941354" w14:textId="77777777" w:rsidR="003777A0" w:rsidRPr="003777A0" w:rsidRDefault="003777A0" w:rsidP="003777A0">
      <w:pPr>
        <w:jc w:val="both"/>
        <w:rPr>
          <w:rFonts w:cs="Calibri"/>
          <w:lang w:val="en-US"/>
        </w:rPr>
      </w:pPr>
      <w:r w:rsidRPr="003777A0">
        <w:rPr>
          <w:rFonts w:cs="Calibri"/>
          <w:lang w:val="en-US"/>
        </w:rPr>
        <w:t>2014/30/EU</w:t>
      </w:r>
    </w:p>
    <w:p w14:paraId="14B65B1B" w14:textId="77777777" w:rsidR="003777A0" w:rsidRPr="003777A0" w:rsidRDefault="003777A0" w:rsidP="003777A0">
      <w:pPr>
        <w:jc w:val="both"/>
        <w:rPr>
          <w:rFonts w:cs="Calibri"/>
          <w:lang w:val="en-US"/>
        </w:rPr>
      </w:pPr>
      <w:r w:rsidRPr="003777A0">
        <w:rPr>
          <w:rFonts w:cs="Calibri"/>
          <w:lang w:val="en-US"/>
        </w:rPr>
        <w:t xml:space="preserve">2016/63 EU (NC </w:t>
      </w:r>
      <w:proofErr w:type="spellStart"/>
      <w:r w:rsidRPr="003777A0">
        <w:rPr>
          <w:rFonts w:cs="Calibri"/>
          <w:lang w:val="en-US"/>
        </w:rPr>
        <w:t>RfG</w:t>
      </w:r>
      <w:proofErr w:type="spellEnd"/>
      <w:r w:rsidRPr="003777A0">
        <w:rPr>
          <w:rFonts w:cs="Calibri"/>
          <w:lang w:val="en-US"/>
        </w:rPr>
        <w:t>)</w:t>
      </w:r>
    </w:p>
    <w:p w14:paraId="32D1C944" w14:textId="77777777" w:rsidR="003777A0" w:rsidRPr="003777A0" w:rsidRDefault="003777A0" w:rsidP="003777A0">
      <w:pPr>
        <w:autoSpaceDE w:val="0"/>
        <w:autoSpaceDN w:val="0"/>
        <w:adjustRightInd w:val="0"/>
        <w:rPr>
          <w:rFonts w:cs="Calibri"/>
          <w:lang w:val="en-US"/>
        </w:rPr>
      </w:pPr>
    </w:p>
    <w:p w14:paraId="352300DB" w14:textId="77777777" w:rsidR="003777A0" w:rsidRPr="003777A0" w:rsidRDefault="003777A0" w:rsidP="003777A0">
      <w:pPr>
        <w:autoSpaceDE w:val="0"/>
        <w:autoSpaceDN w:val="0"/>
        <w:adjustRightInd w:val="0"/>
        <w:rPr>
          <w:rFonts w:cs="Calibri"/>
          <w:b/>
        </w:rPr>
      </w:pPr>
      <w:r w:rsidRPr="003777A0">
        <w:rPr>
          <w:rFonts w:cs="Calibri"/>
          <w:b/>
        </w:rPr>
        <w:t>Gwarancja</w:t>
      </w:r>
    </w:p>
    <w:p w14:paraId="1AE4B285" w14:textId="560A22A3" w:rsidR="003777A0" w:rsidRPr="003777A0" w:rsidRDefault="003777A0" w:rsidP="003777A0">
      <w:pPr>
        <w:autoSpaceDE w:val="0"/>
        <w:autoSpaceDN w:val="0"/>
        <w:adjustRightInd w:val="0"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Gwarancja systemu: </w:t>
      </w:r>
      <w:r w:rsidR="004042DB">
        <w:rPr>
          <w:rFonts w:cs="Calibri"/>
          <w:color w:val="000000"/>
          <w:lang w:eastAsia="pl-PL"/>
        </w:rPr>
        <w:t xml:space="preserve">min. </w:t>
      </w:r>
      <w:r w:rsidR="00520A14">
        <w:rPr>
          <w:rFonts w:cs="Calibri"/>
          <w:color w:val="000000"/>
          <w:lang w:eastAsia="pl-PL"/>
        </w:rPr>
        <w:t>5</w:t>
      </w:r>
      <w:r w:rsidRPr="003777A0">
        <w:rPr>
          <w:rFonts w:cs="Calibri"/>
          <w:color w:val="000000"/>
          <w:lang w:eastAsia="pl-PL"/>
        </w:rPr>
        <w:t xml:space="preserve"> lat</w:t>
      </w:r>
    </w:p>
    <w:p w14:paraId="52A14D71" w14:textId="77777777" w:rsidR="003777A0" w:rsidRPr="003777A0" w:rsidRDefault="003777A0" w:rsidP="003777A0">
      <w:pPr>
        <w:jc w:val="both"/>
        <w:rPr>
          <w:rFonts w:eastAsia="Century Gothic" w:cstheme="minorHAnsi"/>
        </w:rPr>
      </w:pPr>
    </w:p>
    <w:p w14:paraId="5FA8E576" w14:textId="17DFC129" w:rsidR="00BE07AA" w:rsidRDefault="00BE07AA" w:rsidP="003777A0">
      <w:pPr>
        <w:jc w:val="both"/>
        <w:rPr>
          <w:rFonts w:cstheme="minorHAnsi"/>
          <w:b/>
        </w:rPr>
      </w:pPr>
      <w:r>
        <w:rPr>
          <w:rFonts w:cstheme="minorHAnsi"/>
          <w:b/>
        </w:rPr>
        <w:t>WYMAGANIA DOTYCZĄCE EMS</w:t>
      </w:r>
    </w:p>
    <w:p w14:paraId="3092FC9E" w14:textId="5DDF9F24" w:rsidR="00BE07AA" w:rsidRDefault="00BE07AA" w:rsidP="003777A0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System EMS musi zostać zaprogramowany pod powstającą sieć oraz z</w:t>
      </w:r>
      <w:r w:rsidR="004042DB">
        <w:rPr>
          <w:rFonts w:cstheme="minorHAnsi"/>
          <w:bCs/>
        </w:rPr>
        <w:t>a</w:t>
      </w:r>
      <w:r>
        <w:rPr>
          <w:rFonts w:cstheme="minorHAnsi"/>
          <w:bCs/>
        </w:rPr>
        <w:t>wierać m.in.:</w:t>
      </w:r>
    </w:p>
    <w:p w14:paraId="48C36F7A" w14:textId="30219E1A" w:rsidR="00BE07AA" w:rsidRDefault="00BE07AA" w:rsidP="00BE07AA">
      <w:pPr>
        <w:pStyle w:val="Akapitzlist"/>
        <w:numPr>
          <w:ilvl w:val="0"/>
          <w:numId w:val="2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komunikację z operatorem OSD,</w:t>
      </w:r>
    </w:p>
    <w:p w14:paraId="68C08824" w14:textId="57D5B49E" w:rsidR="00BE07AA" w:rsidRDefault="00BE07AA" w:rsidP="00BE07AA">
      <w:pPr>
        <w:pStyle w:val="Akapitzlist"/>
        <w:numPr>
          <w:ilvl w:val="0"/>
          <w:numId w:val="2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możliwość komunikacji z potencjalnymi dostawcami usług: np. arbitraż cenowy, rynek mocy, rynek bilansujący,</w:t>
      </w:r>
    </w:p>
    <w:p w14:paraId="6F57CF32" w14:textId="41164EE9" w:rsidR="00BE07AA" w:rsidRDefault="009459DD" w:rsidP="009459DD">
      <w:pPr>
        <w:pStyle w:val="Akapitzlist"/>
        <w:numPr>
          <w:ilvl w:val="0"/>
          <w:numId w:val="21"/>
        </w:numPr>
        <w:rPr>
          <w:rFonts w:cstheme="minorHAnsi"/>
          <w:bCs/>
        </w:rPr>
      </w:pPr>
      <w:r>
        <w:rPr>
          <w:rFonts w:cstheme="minorHAnsi"/>
          <w:bCs/>
        </w:rPr>
        <w:t>możliwość integracji źródeł wytwórczych oraz odbiorów,</w:t>
      </w:r>
    </w:p>
    <w:p w14:paraId="531AF24F" w14:textId="4ABBC0CF" w:rsidR="009459DD" w:rsidRDefault="009459DD" w:rsidP="009459DD">
      <w:pPr>
        <w:pStyle w:val="Akapitzlist"/>
        <w:numPr>
          <w:ilvl w:val="0"/>
          <w:numId w:val="21"/>
        </w:numPr>
        <w:rPr>
          <w:rFonts w:cstheme="minorHAnsi"/>
          <w:bCs/>
        </w:rPr>
      </w:pPr>
      <w:r>
        <w:rPr>
          <w:rFonts w:cstheme="minorHAnsi"/>
          <w:bCs/>
        </w:rPr>
        <w:t>możliwość współpracy z instalacjami PV,</w:t>
      </w:r>
    </w:p>
    <w:p w14:paraId="09F6D524" w14:textId="7CAB1EC1" w:rsidR="009459DD" w:rsidRDefault="009459DD" w:rsidP="009459DD">
      <w:pPr>
        <w:pStyle w:val="Akapitzlist"/>
        <w:numPr>
          <w:ilvl w:val="0"/>
          <w:numId w:val="21"/>
        </w:numPr>
        <w:rPr>
          <w:rFonts w:cstheme="minorHAnsi"/>
          <w:bCs/>
        </w:rPr>
      </w:pPr>
      <w:r>
        <w:rPr>
          <w:rFonts w:cstheme="minorHAnsi"/>
          <w:bCs/>
        </w:rPr>
        <w:t>możliwość wizualizacji stanu systemu na ekranie lokalny</w:t>
      </w:r>
      <w:r w:rsidR="004042DB">
        <w:rPr>
          <w:rFonts w:cstheme="minorHAnsi"/>
          <w:bCs/>
        </w:rPr>
        <w:t>m</w:t>
      </w:r>
      <w:r>
        <w:rPr>
          <w:rFonts w:cstheme="minorHAnsi"/>
          <w:bCs/>
        </w:rPr>
        <w:t xml:space="preserve"> oraz w sieci WEB,</w:t>
      </w:r>
    </w:p>
    <w:p w14:paraId="2595FB3A" w14:textId="2C8DD09C" w:rsidR="009459DD" w:rsidRDefault="009459DD" w:rsidP="009459DD">
      <w:pPr>
        <w:pStyle w:val="Akapitzlist"/>
        <w:numPr>
          <w:ilvl w:val="0"/>
          <w:numId w:val="21"/>
        </w:numPr>
        <w:rPr>
          <w:rFonts w:cstheme="minorHAnsi"/>
          <w:bCs/>
        </w:rPr>
      </w:pPr>
      <w:r>
        <w:rPr>
          <w:rFonts w:cstheme="minorHAnsi"/>
          <w:bCs/>
        </w:rPr>
        <w:lastRenderedPageBreak/>
        <w:t>możliwość zdalnego monitorowania i zarządzania</w:t>
      </w:r>
      <w:r w:rsidR="00120F07">
        <w:rPr>
          <w:rFonts w:cstheme="minorHAnsi"/>
          <w:bCs/>
        </w:rPr>
        <w:t xml:space="preserve"> w czasie rzeczywistym</w:t>
      </w:r>
      <w:r>
        <w:rPr>
          <w:rFonts w:cstheme="minorHAnsi"/>
          <w:bCs/>
        </w:rPr>
        <w:t>,</w:t>
      </w:r>
    </w:p>
    <w:p w14:paraId="359737B8" w14:textId="4B697AA2" w:rsidR="00120F07" w:rsidRDefault="00120F07" w:rsidP="009459DD">
      <w:pPr>
        <w:pStyle w:val="Akapitzlist"/>
        <w:numPr>
          <w:ilvl w:val="0"/>
          <w:numId w:val="21"/>
        </w:numPr>
        <w:rPr>
          <w:rFonts w:cstheme="minorHAnsi"/>
          <w:bCs/>
        </w:rPr>
      </w:pPr>
      <w:r>
        <w:rPr>
          <w:rFonts w:cstheme="minorHAnsi"/>
          <w:bCs/>
        </w:rPr>
        <w:t>możliwość integracji z systemami nadrzędnymi,</w:t>
      </w:r>
    </w:p>
    <w:p w14:paraId="15552154" w14:textId="09DF3D79" w:rsidR="00120F07" w:rsidRDefault="00120F07" w:rsidP="009459DD">
      <w:pPr>
        <w:pStyle w:val="Akapitzlist"/>
        <w:numPr>
          <w:ilvl w:val="0"/>
          <w:numId w:val="21"/>
        </w:numPr>
        <w:rPr>
          <w:rFonts w:cstheme="minorHAnsi"/>
          <w:bCs/>
        </w:rPr>
      </w:pPr>
      <w:r>
        <w:rPr>
          <w:rFonts w:cstheme="minorHAnsi"/>
          <w:bCs/>
        </w:rPr>
        <w:t>możliwość skalowalności,</w:t>
      </w:r>
    </w:p>
    <w:p w14:paraId="6744DE71" w14:textId="1C783769" w:rsidR="009459DD" w:rsidRDefault="009459DD" w:rsidP="009459DD">
      <w:pPr>
        <w:pStyle w:val="Akapitzlist"/>
        <w:numPr>
          <w:ilvl w:val="0"/>
          <w:numId w:val="21"/>
        </w:numPr>
        <w:rPr>
          <w:rFonts w:cstheme="minorHAnsi"/>
          <w:bCs/>
        </w:rPr>
      </w:pPr>
      <w:r>
        <w:rPr>
          <w:rFonts w:cstheme="minorHAnsi"/>
          <w:bCs/>
        </w:rPr>
        <w:t>dedykowaną platformę raportową w sieci WEB</w:t>
      </w:r>
      <w:r w:rsidR="00120F07">
        <w:rPr>
          <w:rFonts w:cstheme="minorHAnsi"/>
          <w:bCs/>
        </w:rPr>
        <w:t>.</w:t>
      </w:r>
    </w:p>
    <w:p w14:paraId="55C52FD3" w14:textId="77777777" w:rsidR="00120F07" w:rsidRPr="00141103" w:rsidRDefault="00120F07" w:rsidP="00120F07">
      <w:pPr>
        <w:rPr>
          <w:rFonts w:cstheme="minorHAnsi"/>
          <w:b/>
        </w:rPr>
      </w:pPr>
    </w:p>
    <w:p w14:paraId="0EC79D9C" w14:textId="77777777" w:rsidR="00BE07AA" w:rsidRDefault="00BE07AA" w:rsidP="003777A0">
      <w:pPr>
        <w:jc w:val="both"/>
        <w:rPr>
          <w:rFonts w:cstheme="minorHAnsi"/>
          <w:b/>
        </w:rPr>
      </w:pPr>
    </w:p>
    <w:p w14:paraId="7822D493" w14:textId="77777777" w:rsidR="00151C3C" w:rsidRPr="00151C3C" w:rsidRDefault="00151C3C" w:rsidP="007D50E3">
      <w:pPr>
        <w:rPr>
          <w:rFonts w:cstheme="minorHAnsi"/>
          <w:b/>
        </w:rPr>
      </w:pPr>
      <w:r w:rsidRPr="00151C3C">
        <w:rPr>
          <w:rFonts w:cstheme="minorHAnsi"/>
          <w:b/>
          <w:bCs/>
        </w:rPr>
        <w:t>Wymagania dotyczące rozwoju i utrzymania systemu EMS</w:t>
      </w:r>
    </w:p>
    <w:p w14:paraId="6B41F247" w14:textId="77777777" w:rsidR="00151C3C" w:rsidRPr="007D50E3" w:rsidRDefault="00151C3C" w:rsidP="007D50E3">
      <w:pPr>
        <w:numPr>
          <w:ilvl w:val="0"/>
          <w:numId w:val="22"/>
        </w:numPr>
        <w:rPr>
          <w:rFonts w:cstheme="minorHAnsi"/>
          <w:bCs/>
        </w:rPr>
      </w:pPr>
      <w:r w:rsidRPr="007D50E3">
        <w:rPr>
          <w:rFonts w:cstheme="minorHAnsi"/>
          <w:bCs/>
        </w:rPr>
        <w:t>System EMS musi zostać zaprojektowany i zaimplementowany w sposób umożliwiający jego bieżącą rozbudowę i modyfikację, tak aby docelowo integrował wszystkie urządzenia i instalacje objęte projektem kredytu ekologicznego w FOGO Sp. z o.o., w szczególności:</w:t>
      </w:r>
    </w:p>
    <w:p w14:paraId="5BF876C4" w14:textId="029A0F5D" w:rsidR="00151C3C" w:rsidRPr="007D50E3" w:rsidRDefault="00151C3C" w:rsidP="007D50E3">
      <w:pPr>
        <w:numPr>
          <w:ilvl w:val="1"/>
          <w:numId w:val="23"/>
        </w:numPr>
        <w:rPr>
          <w:rFonts w:cstheme="minorHAnsi"/>
          <w:bCs/>
        </w:rPr>
      </w:pPr>
      <w:r w:rsidRPr="007D50E3">
        <w:rPr>
          <w:rFonts w:cstheme="minorHAnsi"/>
          <w:bCs/>
        </w:rPr>
        <w:t xml:space="preserve">nową wycinarkę laserową typu </w:t>
      </w:r>
      <w:proofErr w:type="spellStart"/>
      <w:r w:rsidRPr="007D50E3">
        <w:rPr>
          <w:rFonts w:cstheme="minorHAnsi"/>
          <w:bCs/>
        </w:rPr>
        <w:t>Fiber</w:t>
      </w:r>
      <w:proofErr w:type="spellEnd"/>
      <w:r w:rsidRPr="007D50E3">
        <w:rPr>
          <w:rFonts w:cstheme="minorHAnsi"/>
          <w:bCs/>
        </w:rPr>
        <w:t xml:space="preserve"> (następcę TRUMPF </w:t>
      </w:r>
      <w:proofErr w:type="spellStart"/>
      <w:r w:rsidRPr="007D50E3">
        <w:rPr>
          <w:rFonts w:cstheme="minorHAnsi"/>
          <w:bCs/>
        </w:rPr>
        <w:t>TruLaser</w:t>
      </w:r>
      <w:proofErr w:type="spellEnd"/>
      <w:r w:rsidRPr="007D50E3">
        <w:rPr>
          <w:rFonts w:cstheme="minorHAnsi"/>
          <w:bCs/>
        </w:rPr>
        <w:t xml:space="preserve"> 3030 CO2), </w:t>
      </w:r>
    </w:p>
    <w:p w14:paraId="65F12979" w14:textId="77777777" w:rsidR="00151C3C" w:rsidRPr="007D50E3" w:rsidRDefault="00151C3C" w:rsidP="007D50E3">
      <w:pPr>
        <w:numPr>
          <w:ilvl w:val="1"/>
          <w:numId w:val="24"/>
        </w:numPr>
        <w:rPr>
          <w:rFonts w:cstheme="minorHAnsi"/>
          <w:bCs/>
        </w:rPr>
      </w:pPr>
      <w:r w:rsidRPr="007D50E3">
        <w:rPr>
          <w:rFonts w:cstheme="minorHAnsi"/>
          <w:bCs/>
        </w:rPr>
        <w:t xml:space="preserve">nowe laserowe źródło spawalnicze (następcę Lincoln </w:t>
      </w:r>
      <w:proofErr w:type="spellStart"/>
      <w:r w:rsidRPr="007D50E3">
        <w:rPr>
          <w:rFonts w:cstheme="minorHAnsi"/>
          <w:bCs/>
        </w:rPr>
        <w:t>Electric</w:t>
      </w:r>
      <w:proofErr w:type="spellEnd"/>
      <w:r w:rsidRPr="007D50E3">
        <w:rPr>
          <w:rFonts w:cstheme="minorHAnsi"/>
          <w:bCs/>
        </w:rPr>
        <w:t xml:space="preserve"> </w:t>
      </w:r>
      <w:proofErr w:type="spellStart"/>
      <w:r w:rsidRPr="007D50E3">
        <w:rPr>
          <w:rFonts w:cstheme="minorHAnsi"/>
          <w:bCs/>
        </w:rPr>
        <w:t>PowerWave</w:t>
      </w:r>
      <w:proofErr w:type="spellEnd"/>
      <w:r w:rsidRPr="007D50E3">
        <w:rPr>
          <w:rFonts w:cstheme="minorHAnsi"/>
          <w:bCs/>
        </w:rPr>
        <w:t xml:space="preserve"> i400),</w:t>
      </w:r>
    </w:p>
    <w:p w14:paraId="6FD0F2DA" w14:textId="77777777" w:rsidR="00151C3C" w:rsidRPr="007D50E3" w:rsidRDefault="00151C3C" w:rsidP="007D50E3">
      <w:pPr>
        <w:numPr>
          <w:ilvl w:val="1"/>
          <w:numId w:val="25"/>
        </w:numPr>
        <w:rPr>
          <w:rFonts w:cstheme="minorHAnsi"/>
          <w:bCs/>
        </w:rPr>
      </w:pPr>
      <w:r w:rsidRPr="007D50E3">
        <w:rPr>
          <w:rFonts w:cstheme="minorHAnsi"/>
          <w:bCs/>
        </w:rPr>
        <w:t xml:space="preserve">instalację fotowoltaiczną o mocy 210,60 </w:t>
      </w:r>
      <w:proofErr w:type="spellStart"/>
      <w:r w:rsidRPr="007D50E3">
        <w:rPr>
          <w:rFonts w:cstheme="minorHAnsi"/>
          <w:bCs/>
        </w:rPr>
        <w:t>kWp</w:t>
      </w:r>
      <w:proofErr w:type="spellEnd"/>
      <w:r w:rsidRPr="007D50E3">
        <w:rPr>
          <w:rFonts w:cstheme="minorHAnsi"/>
          <w:bCs/>
        </w:rPr>
        <w:t>,</w:t>
      </w:r>
    </w:p>
    <w:p w14:paraId="3E01849D" w14:textId="77777777" w:rsidR="00151C3C" w:rsidRPr="007D50E3" w:rsidRDefault="00151C3C" w:rsidP="007D50E3">
      <w:pPr>
        <w:numPr>
          <w:ilvl w:val="1"/>
          <w:numId w:val="26"/>
        </w:numPr>
        <w:rPr>
          <w:rFonts w:cstheme="minorHAnsi"/>
          <w:bCs/>
        </w:rPr>
      </w:pPr>
      <w:r w:rsidRPr="007D50E3">
        <w:rPr>
          <w:rFonts w:cstheme="minorHAnsi"/>
          <w:bCs/>
        </w:rPr>
        <w:t xml:space="preserve">instalację fotowoltaiczną o mocy 133,92 </w:t>
      </w:r>
      <w:proofErr w:type="spellStart"/>
      <w:r w:rsidRPr="007D50E3">
        <w:rPr>
          <w:rFonts w:cstheme="minorHAnsi"/>
          <w:bCs/>
        </w:rPr>
        <w:t>kWp</w:t>
      </w:r>
      <w:proofErr w:type="spellEnd"/>
      <w:r w:rsidRPr="007D50E3">
        <w:rPr>
          <w:rFonts w:cstheme="minorHAnsi"/>
          <w:bCs/>
        </w:rPr>
        <w:t>,</w:t>
      </w:r>
    </w:p>
    <w:p w14:paraId="5B4958C5" w14:textId="77777777" w:rsidR="00151C3C" w:rsidRPr="007D50E3" w:rsidRDefault="00151C3C" w:rsidP="007D50E3">
      <w:pPr>
        <w:numPr>
          <w:ilvl w:val="1"/>
          <w:numId w:val="27"/>
        </w:numPr>
        <w:rPr>
          <w:rFonts w:cstheme="minorHAnsi"/>
          <w:bCs/>
        </w:rPr>
      </w:pPr>
      <w:r w:rsidRPr="007D50E3">
        <w:rPr>
          <w:rFonts w:cstheme="minorHAnsi"/>
          <w:bCs/>
        </w:rPr>
        <w:t>nową stację transformatorową 2000 kVA,</w:t>
      </w:r>
    </w:p>
    <w:p w14:paraId="27DF6053" w14:textId="505A833F" w:rsidR="00151C3C" w:rsidRPr="007D50E3" w:rsidRDefault="00151C3C" w:rsidP="007D50E3">
      <w:pPr>
        <w:rPr>
          <w:rFonts w:cstheme="minorHAnsi"/>
          <w:bCs/>
        </w:rPr>
      </w:pPr>
      <w:r w:rsidRPr="007D50E3">
        <w:rPr>
          <w:rFonts w:cstheme="minorHAnsi"/>
          <w:bCs/>
        </w:rPr>
        <w:t>cztery magazyny energii 0,5 MW / 1,5 MWh każdy,</w:t>
      </w:r>
      <w:r w:rsidRPr="007D50E3">
        <w:rPr>
          <w:rFonts w:cstheme="minorHAnsi"/>
          <w:bCs/>
        </w:rPr>
        <w:br/>
        <w:t>oraz inne istniejące i planowane urządzenia wchodzące w zakres projektu poprawy efektywności energetycznej.</w:t>
      </w:r>
    </w:p>
    <w:p w14:paraId="3F7F1310" w14:textId="77777777" w:rsidR="00151C3C" w:rsidRPr="007D50E3" w:rsidRDefault="00151C3C" w:rsidP="00151C3C">
      <w:pPr>
        <w:numPr>
          <w:ilvl w:val="0"/>
          <w:numId w:val="28"/>
        </w:numPr>
        <w:rPr>
          <w:rFonts w:cstheme="minorHAnsi"/>
          <w:bCs/>
        </w:rPr>
      </w:pPr>
      <w:r w:rsidRPr="007D50E3">
        <w:rPr>
          <w:rFonts w:cstheme="minorHAnsi"/>
          <w:bCs/>
        </w:rPr>
        <w:t>Zamawiający dopuszcza dwa równorzędne warianty realizacji zobowiązań Wykonawcy w zakresie rozwoju systemu EMS:</w:t>
      </w:r>
    </w:p>
    <w:p w14:paraId="0C3F5440" w14:textId="77777777" w:rsidR="00151C3C" w:rsidRPr="007D50E3" w:rsidRDefault="00151C3C" w:rsidP="007D50E3">
      <w:pPr>
        <w:ind w:left="720"/>
        <w:rPr>
          <w:rFonts w:cstheme="minorHAnsi"/>
          <w:bCs/>
        </w:rPr>
      </w:pPr>
    </w:p>
    <w:p w14:paraId="090B2E86" w14:textId="77777777" w:rsidR="00151C3C" w:rsidRPr="007D50E3" w:rsidRDefault="00151C3C" w:rsidP="00151C3C">
      <w:pPr>
        <w:rPr>
          <w:rFonts w:cstheme="minorHAnsi"/>
          <w:bCs/>
        </w:rPr>
      </w:pPr>
      <w:r w:rsidRPr="00151C3C">
        <w:rPr>
          <w:rFonts w:cstheme="minorHAnsi"/>
          <w:b/>
        </w:rPr>
        <w:t>Wariant A – przekazanie kodów źródłowych:</w:t>
      </w:r>
      <w:r w:rsidRPr="007D50E3">
        <w:rPr>
          <w:rFonts w:cstheme="minorHAnsi"/>
          <w:bCs/>
        </w:rPr>
        <w:br/>
        <w:t>a) Wykonawca zobowiązuje się do przekazania Zamawiającemu pełnej i kompletnej dokumentacji oraz wszystkich wersji kodów źródłowych systemu EMS, w formacie umożliwiającym ich dalszą modyfikację i rozwój przez Zamawiającego lub podmioty przez niego upoważnione.</w:t>
      </w:r>
      <w:r w:rsidRPr="007D50E3">
        <w:rPr>
          <w:rFonts w:cstheme="minorHAnsi"/>
          <w:bCs/>
        </w:rPr>
        <w:br/>
        <w:t>b) Z chwilą podpisania protokołu odbioru końcowego systemu przeniesione zostaną na Zamawiającego autorskie prawa majątkowe do kodów źródłowych na wszystkich polach eksploatacji znanych w chwili zawarcia umowy, bez możliwości rozpowszechniania i zwielokrotniania w celach komercyjnych.</w:t>
      </w:r>
    </w:p>
    <w:p w14:paraId="6D6B5CA5" w14:textId="77777777" w:rsidR="00151C3C" w:rsidRPr="007D50E3" w:rsidRDefault="00151C3C" w:rsidP="007D50E3">
      <w:pPr>
        <w:rPr>
          <w:rFonts w:cstheme="minorHAnsi"/>
          <w:bCs/>
        </w:rPr>
      </w:pPr>
    </w:p>
    <w:p w14:paraId="0D0478C4" w14:textId="77777777" w:rsidR="00151C3C" w:rsidRPr="007D50E3" w:rsidRDefault="00151C3C" w:rsidP="007D50E3">
      <w:pPr>
        <w:rPr>
          <w:rFonts w:cstheme="minorHAnsi"/>
          <w:bCs/>
        </w:rPr>
      </w:pPr>
      <w:r w:rsidRPr="00151C3C">
        <w:rPr>
          <w:rFonts w:cstheme="minorHAnsi"/>
          <w:b/>
        </w:rPr>
        <w:t>Wariant B – wsparcie rozwojowe EMS przez Wykonawcę:</w:t>
      </w:r>
      <w:r w:rsidRPr="007D50E3">
        <w:rPr>
          <w:rFonts w:cstheme="minorHAnsi"/>
          <w:bCs/>
        </w:rPr>
        <w:br/>
        <w:t>a) Zamiast przeniesienia kodów źródłowych Wykonawca może zaoferować usługę rozwoju i utrzymania systemu EMS przez okres co najmniej 24 miesięcy od daty odbioru końcowego systemu.</w:t>
      </w:r>
      <w:r w:rsidRPr="007D50E3">
        <w:rPr>
          <w:rFonts w:cstheme="minorHAnsi"/>
          <w:bCs/>
        </w:rPr>
        <w:br/>
        <w:t>b) W ramach tego okresu Wykonawca zapewni:</w:t>
      </w:r>
    </w:p>
    <w:p w14:paraId="7F999F83" w14:textId="77777777" w:rsidR="00151C3C" w:rsidRPr="007D50E3" w:rsidRDefault="00151C3C" w:rsidP="007D50E3">
      <w:pPr>
        <w:numPr>
          <w:ilvl w:val="1"/>
          <w:numId w:val="29"/>
        </w:numPr>
        <w:rPr>
          <w:rFonts w:cstheme="minorHAnsi"/>
          <w:bCs/>
        </w:rPr>
      </w:pPr>
      <w:r w:rsidRPr="007D50E3">
        <w:rPr>
          <w:rFonts w:cstheme="minorHAnsi"/>
          <w:bCs/>
        </w:rPr>
        <w:t>bieżące modyfikacje algorytmów i konfiguracji EMS wynikające z uruchamiania kolejnych urządzeń i instalacji objętych projektem kredytu ekologicznego,</w:t>
      </w:r>
    </w:p>
    <w:p w14:paraId="43895A27" w14:textId="77777777" w:rsidR="00151C3C" w:rsidRPr="007D50E3" w:rsidRDefault="00151C3C" w:rsidP="007D50E3">
      <w:pPr>
        <w:numPr>
          <w:ilvl w:val="1"/>
          <w:numId w:val="29"/>
        </w:numPr>
        <w:rPr>
          <w:rFonts w:cstheme="minorHAnsi"/>
          <w:bCs/>
        </w:rPr>
      </w:pPr>
      <w:r w:rsidRPr="007D50E3">
        <w:rPr>
          <w:rFonts w:cstheme="minorHAnsi"/>
          <w:bCs/>
        </w:rPr>
        <w:t>integrację z nowymi lub modernizowanymi urządzeniami wchodzącymi w skład projektu (w szczególności wymienionymi w pkt 1 powyżej),</w:t>
      </w:r>
    </w:p>
    <w:p w14:paraId="075463DC" w14:textId="77777777" w:rsidR="00151C3C" w:rsidRPr="007D50E3" w:rsidRDefault="00151C3C" w:rsidP="007D50E3">
      <w:pPr>
        <w:numPr>
          <w:ilvl w:val="1"/>
          <w:numId w:val="29"/>
        </w:numPr>
        <w:rPr>
          <w:rFonts w:cstheme="minorHAnsi"/>
          <w:bCs/>
        </w:rPr>
      </w:pPr>
      <w:r w:rsidRPr="007D50E3">
        <w:rPr>
          <w:rFonts w:cstheme="minorHAnsi"/>
          <w:bCs/>
        </w:rPr>
        <w:t>dostosowywanie scenariuszy pracy systemu EMS do rzeczywistego profilu zużycia energii w zakładzie FOGO,</w:t>
      </w:r>
    </w:p>
    <w:p w14:paraId="4B87B2A8" w14:textId="77777777" w:rsidR="00151C3C" w:rsidRPr="007D50E3" w:rsidRDefault="00151C3C" w:rsidP="007D50E3">
      <w:pPr>
        <w:numPr>
          <w:ilvl w:val="1"/>
          <w:numId w:val="29"/>
        </w:numPr>
        <w:rPr>
          <w:rFonts w:cstheme="minorHAnsi"/>
          <w:bCs/>
        </w:rPr>
      </w:pPr>
      <w:r w:rsidRPr="007D50E3">
        <w:rPr>
          <w:rFonts w:cstheme="minorHAnsi"/>
          <w:bCs/>
        </w:rPr>
        <w:t>usuwanie błędów i aktualizację systemu w zakresie niezbędnym do spełnienia celu poprawy efektywności energetycznej.</w:t>
      </w:r>
    </w:p>
    <w:p w14:paraId="2FDDB8AA" w14:textId="4A646D16" w:rsidR="00151C3C" w:rsidRPr="007D50E3" w:rsidRDefault="00151C3C" w:rsidP="007D50E3">
      <w:pPr>
        <w:rPr>
          <w:rFonts w:cstheme="minorHAnsi"/>
          <w:bCs/>
        </w:rPr>
      </w:pPr>
      <w:r w:rsidRPr="007D50E3">
        <w:rPr>
          <w:rFonts w:cstheme="minorHAnsi"/>
          <w:bCs/>
        </w:rPr>
        <w:lastRenderedPageBreak/>
        <w:t>c) Zakres rzeczowy i czas reakcji na zgłoszenia Zamawiającego dotyczącego EMS zostaną określone w odrębnej umowie serwisowo</w:t>
      </w:r>
      <w:r w:rsidRPr="007D50E3">
        <w:rPr>
          <w:rFonts w:cstheme="minorHAnsi"/>
          <w:bCs/>
        </w:rPr>
        <w:noBreakHyphen/>
        <w:t>rozwojowej stanowiącej załącznik do umowy głównej. Podstawowe warunki takiej umowy powinny być przedmiotem oferty</w:t>
      </w:r>
      <w:r>
        <w:rPr>
          <w:rFonts w:cstheme="minorHAnsi"/>
          <w:bCs/>
        </w:rPr>
        <w:t xml:space="preserve"> głownej.</w:t>
      </w:r>
      <w:r w:rsidRPr="007D50E3">
        <w:rPr>
          <w:rFonts w:cstheme="minorHAnsi"/>
          <w:bCs/>
        </w:rPr>
        <w:br/>
        <w:t>d) W ramach wariantu B Wykonawca zachowuje autorskie prawa majątkowe do kodu źródłowego systemu EMS, przy czym zobowiązuje się zapewnić Zamawiającemu nieprzerwane, bezterminowe prawo korzystania z systemu EMS w wersji wdrożonej i rozwijanej w okresie obowiązywania umowy.</w:t>
      </w:r>
    </w:p>
    <w:p w14:paraId="68021F3B" w14:textId="77777777" w:rsidR="00151C3C" w:rsidRPr="007D50E3" w:rsidRDefault="00151C3C" w:rsidP="007D50E3">
      <w:pPr>
        <w:numPr>
          <w:ilvl w:val="0"/>
          <w:numId w:val="30"/>
        </w:numPr>
        <w:rPr>
          <w:rFonts w:cstheme="minorHAnsi"/>
          <w:bCs/>
        </w:rPr>
      </w:pPr>
      <w:r w:rsidRPr="007D50E3">
        <w:rPr>
          <w:rFonts w:cstheme="minorHAnsi"/>
          <w:bCs/>
        </w:rPr>
        <w:t>Wybór wariantu (A lub B) nastąpi na etapie składania ofert. Wykonawca obowiązany jest jednoznacznie wskazać w ofercie wybrany wariant oraz ująć wszelkie związane z nim koszty w cenie oferty. Brak wskazania wariantu oznacza przyjęcie Wariantu A.</w:t>
      </w:r>
    </w:p>
    <w:p w14:paraId="34751398" w14:textId="77777777" w:rsidR="00151C3C" w:rsidRPr="007D50E3" w:rsidRDefault="00151C3C" w:rsidP="007D50E3">
      <w:pPr>
        <w:numPr>
          <w:ilvl w:val="0"/>
          <w:numId w:val="30"/>
        </w:numPr>
        <w:rPr>
          <w:rFonts w:cstheme="minorHAnsi"/>
          <w:bCs/>
        </w:rPr>
      </w:pPr>
      <w:r w:rsidRPr="007D50E3">
        <w:rPr>
          <w:rFonts w:cstheme="minorHAnsi"/>
          <w:bCs/>
        </w:rPr>
        <w:t>Niezależnie od wybranego wariantu Wykonawca zobowiązuje się do:</w:t>
      </w:r>
    </w:p>
    <w:p w14:paraId="0A7D7D0C" w14:textId="77777777" w:rsidR="00151C3C" w:rsidRPr="007D50E3" w:rsidRDefault="00151C3C" w:rsidP="007D50E3">
      <w:pPr>
        <w:numPr>
          <w:ilvl w:val="1"/>
          <w:numId w:val="31"/>
        </w:numPr>
        <w:rPr>
          <w:rFonts w:cstheme="minorHAnsi"/>
          <w:bCs/>
        </w:rPr>
      </w:pPr>
      <w:r w:rsidRPr="007D50E3">
        <w:rPr>
          <w:rFonts w:cstheme="minorHAnsi"/>
          <w:bCs/>
        </w:rPr>
        <w:t>zapewnienia otwartych lub powszechnie stosowanych protokołów komunikacyjnych oraz interfejsów integracyjnych,</w:t>
      </w:r>
    </w:p>
    <w:p w14:paraId="0B32EC23" w14:textId="77777777" w:rsidR="00151C3C" w:rsidRPr="007D50E3" w:rsidRDefault="00151C3C" w:rsidP="007D50E3">
      <w:pPr>
        <w:numPr>
          <w:ilvl w:val="1"/>
          <w:numId w:val="31"/>
        </w:numPr>
        <w:rPr>
          <w:rFonts w:cstheme="minorHAnsi"/>
          <w:bCs/>
        </w:rPr>
      </w:pPr>
      <w:r w:rsidRPr="007D50E3">
        <w:rPr>
          <w:rFonts w:cstheme="minorHAnsi"/>
          <w:bCs/>
        </w:rPr>
        <w:t>udostępnienia Zamawiającemu pełnej dokumentacji konfiguracyjnej, opisów interfejsów oraz schematów integracji z urządzeniami objętymi projektem,</w:t>
      </w:r>
    </w:p>
    <w:p w14:paraId="3B99A5B9" w14:textId="77777777" w:rsidR="00151C3C" w:rsidRPr="007D50E3" w:rsidRDefault="00151C3C" w:rsidP="007D50E3">
      <w:pPr>
        <w:numPr>
          <w:ilvl w:val="1"/>
          <w:numId w:val="31"/>
        </w:numPr>
        <w:rPr>
          <w:rFonts w:cstheme="minorHAnsi"/>
          <w:bCs/>
        </w:rPr>
      </w:pPr>
      <w:r w:rsidRPr="007D50E3">
        <w:rPr>
          <w:rFonts w:cstheme="minorHAnsi"/>
          <w:bCs/>
        </w:rPr>
        <w:t>takiej konfiguracji EMS, aby możliwe było uzyskanie i utrzymanie deklarowanych efektów energetycznych (m.in. redukcji zapotrzebowania energii końcowej o 61,64 MWh/rok w stosunku do 159,72 MWh/rok przed modernizacją).</w:t>
      </w:r>
    </w:p>
    <w:p w14:paraId="10778E17" w14:textId="77777777" w:rsidR="00151C3C" w:rsidRPr="007D50E3" w:rsidRDefault="00151C3C" w:rsidP="007D50E3">
      <w:pPr>
        <w:rPr>
          <w:rFonts w:cstheme="minorHAnsi"/>
          <w:bCs/>
        </w:rPr>
      </w:pPr>
      <w:r w:rsidRPr="007D50E3">
        <w:rPr>
          <w:rFonts w:cstheme="minorHAnsi"/>
          <w:bCs/>
        </w:rPr>
        <w:t>Zamawiający zastrzega sobie prawo do zlecania dodatkowych modyfikacji EMS wynikających z potrzeb zakładu, a nie będących przedmiotem Kredytu Ekologicznego.</w:t>
      </w:r>
    </w:p>
    <w:p w14:paraId="726C6292" w14:textId="77777777" w:rsidR="00BE07AA" w:rsidRDefault="00BE07AA" w:rsidP="003777A0">
      <w:pPr>
        <w:jc w:val="both"/>
        <w:rPr>
          <w:rFonts w:cstheme="minorHAnsi"/>
          <w:b/>
        </w:rPr>
      </w:pPr>
    </w:p>
    <w:p w14:paraId="23B50D12" w14:textId="24049A87" w:rsidR="00BE07AA" w:rsidRPr="003777A0" w:rsidRDefault="003777A0" w:rsidP="003777A0">
      <w:pPr>
        <w:jc w:val="both"/>
        <w:rPr>
          <w:rFonts w:cstheme="minorHAnsi"/>
          <w:b/>
        </w:rPr>
      </w:pPr>
      <w:r w:rsidRPr="003777A0">
        <w:rPr>
          <w:rFonts w:cstheme="minorHAnsi"/>
          <w:b/>
        </w:rPr>
        <w:t>WYMAGANIA DOTYCZĄCE PROWADZENIA ROBÓT</w:t>
      </w:r>
    </w:p>
    <w:p w14:paraId="48F007DB" w14:textId="77777777" w:rsidR="003777A0" w:rsidRPr="003777A0" w:rsidRDefault="003777A0" w:rsidP="003777A0">
      <w:pPr>
        <w:jc w:val="both"/>
        <w:rPr>
          <w:rFonts w:cstheme="minorHAnsi"/>
          <w:b/>
        </w:rPr>
      </w:pPr>
    </w:p>
    <w:p w14:paraId="3B6A3307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Wykonawca zaznajomi się z umiejscowieniem wszystkich istniejących instalacji, takich jak odwodnienie, linie i słupy telefoniczne i elektryczne, światłowody, wodociągi, gazociągi, kanały i podobne, przed rozpoczęciem jakichkolwiek wykopów lub innych prac mogących uszkodzić istniejące instalacje.</w:t>
      </w:r>
    </w:p>
    <w:p w14:paraId="74345E8B" w14:textId="77777777" w:rsidR="003777A0" w:rsidRPr="003777A0" w:rsidRDefault="003777A0" w:rsidP="003777A0">
      <w:pPr>
        <w:jc w:val="both"/>
        <w:rPr>
          <w:rFonts w:cstheme="minorHAnsi"/>
        </w:rPr>
      </w:pPr>
    </w:p>
    <w:p w14:paraId="181BF3E2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Każdorazowo przed przystąpieniem do wykonywania robót ziemnych, będą wykonane kontrolne wykopy w celu zidentyfikowania podziemnej instalacji, której uszkodzenie może stanowić zagrożenie bezpieczeństwa ruchu. Wykonawca będzie odpowiedzialny za wszelkie uszkodzenia dróg, rowów odwadniających, wodociągów, kanałów, </w:t>
      </w:r>
      <w:proofErr w:type="spellStart"/>
      <w:r w:rsidRPr="003777A0">
        <w:rPr>
          <w:rFonts w:cstheme="minorHAnsi"/>
        </w:rPr>
        <w:t>ciepłociągów</w:t>
      </w:r>
      <w:proofErr w:type="spellEnd"/>
      <w:r w:rsidRPr="003777A0">
        <w:rPr>
          <w:rFonts w:cstheme="minorHAnsi"/>
        </w:rPr>
        <w:t xml:space="preserve"> i gazociągów, słupów i linii energetycznych, kabli, punktów osnowy geodezyjnej i instalacji jakiegokolwiek rodzaju spowodowane przez niego lub jego personel podczas wykonywania robót. Wykonawca niezwłocznie naprawi wszelkie powstałe uszkodzenia na własny koszt, a także, jeśli to konieczne, przeprowadzi inne prace nakazane przez Zamawiającego. </w:t>
      </w:r>
    </w:p>
    <w:p w14:paraId="0367E279" w14:textId="77777777" w:rsidR="003777A0" w:rsidRPr="003777A0" w:rsidRDefault="003777A0" w:rsidP="003777A0">
      <w:pPr>
        <w:jc w:val="both"/>
        <w:rPr>
          <w:rFonts w:cstheme="minorHAnsi"/>
        </w:rPr>
      </w:pPr>
    </w:p>
    <w:p w14:paraId="4367E65E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Wykonawca będzie zobowiązany uzyskać wszelkie konieczne zgody i zezwolenia władz lokalnych, przedsiębiorstw i właścicieli, wymagane do niezbędnego zdemontowania istniejących instalacji, zamontowania instalacji tymczasowych, usunięcia instalacji tymczasowych i ponownego zamontowania istniejących instalacji, każdorazowo na podstawie uzgodnień poczynionych z Zamawiającym. </w:t>
      </w:r>
    </w:p>
    <w:p w14:paraId="03FD76A6" w14:textId="0C0B8889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 zakresie wynikającym z budowy </w:t>
      </w:r>
      <w:r w:rsidR="00520A14">
        <w:rPr>
          <w:rFonts w:cstheme="minorHAnsi"/>
        </w:rPr>
        <w:t xml:space="preserve">magazynów energii </w:t>
      </w:r>
      <w:r w:rsidRPr="003777A0">
        <w:rPr>
          <w:rFonts w:cstheme="minorHAnsi"/>
        </w:rPr>
        <w:t xml:space="preserve">należy po zakończeniu robót zasadniczych dokonać odtworzenia rozebranych nawierzchni drogowych, chodników i zieleni w pasie prowadzonych robót. Ponadto należy dokonać innych napraw oraz </w:t>
      </w:r>
      <w:proofErr w:type="spellStart"/>
      <w:r w:rsidRPr="003777A0">
        <w:rPr>
          <w:rFonts w:cstheme="minorHAnsi"/>
        </w:rPr>
        <w:t>odtworzeń</w:t>
      </w:r>
      <w:proofErr w:type="spellEnd"/>
      <w:r w:rsidRPr="003777A0">
        <w:rPr>
          <w:rFonts w:cstheme="minorHAnsi"/>
        </w:rPr>
        <w:t xml:space="preserve"> wszelkich innych obiektów budowlanych (np. ogrodzeń czy dróg wewnątrzzakładowych) </w:t>
      </w:r>
      <w:r w:rsidRPr="003777A0">
        <w:rPr>
          <w:rFonts w:cstheme="minorHAnsi"/>
        </w:rPr>
        <w:lastRenderedPageBreak/>
        <w:t xml:space="preserve">rozebranych lub naruszonych w trakcie wykonywanych robót przywracając je do stanu nie gorszego (równego lub lepszego) niż stan istniejący przed przejęciem terenu. </w:t>
      </w:r>
    </w:p>
    <w:p w14:paraId="2DBD7142" w14:textId="77777777" w:rsidR="003777A0" w:rsidRPr="003777A0" w:rsidRDefault="003777A0" w:rsidP="003777A0">
      <w:pPr>
        <w:ind w:left="720"/>
        <w:jc w:val="both"/>
        <w:rPr>
          <w:rFonts w:eastAsia="Century Gothic" w:cstheme="minorHAnsi"/>
        </w:rPr>
      </w:pPr>
    </w:p>
    <w:p w14:paraId="57AEB83B" w14:textId="77777777" w:rsidR="003777A0" w:rsidRPr="003777A0" w:rsidRDefault="003777A0" w:rsidP="003777A0">
      <w:pPr>
        <w:rPr>
          <w:rFonts w:cstheme="minorHAnsi"/>
          <w:b/>
        </w:rPr>
      </w:pPr>
      <w:bookmarkStart w:id="2" w:name="_Toc90307683"/>
      <w:r w:rsidRPr="003777A0">
        <w:rPr>
          <w:rFonts w:cstheme="minorHAnsi"/>
          <w:b/>
        </w:rPr>
        <w:t>Przygotowanie terenu budowy</w:t>
      </w:r>
      <w:bookmarkEnd w:id="2"/>
      <w:r w:rsidRPr="003777A0">
        <w:rPr>
          <w:rFonts w:cstheme="minorHAnsi"/>
          <w:b/>
        </w:rPr>
        <w:t xml:space="preserve"> </w:t>
      </w:r>
    </w:p>
    <w:p w14:paraId="64DEA5AB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 ramach przygotowania terenu budowy należy dokonać wszelkich niezbędnych robót przygotowawczych, rozbiórkowych i demontażowych, obejmujących: </w:t>
      </w:r>
    </w:p>
    <w:p w14:paraId="4C868316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dokumentację terenu, </w:t>
      </w:r>
    </w:p>
    <w:p w14:paraId="5F5FC765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prace geodezyjne i geotechniczne, </w:t>
      </w:r>
    </w:p>
    <w:p w14:paraId="787156D0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przygotowanie zaplecza budowy, w tym przygotowanie dróg dojazdowych do terenu budowy, </w:t>
      </w:r>
    </w:p>
    <w:p w14:paraId="2F1C63B2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przygotowanie terenu pod realizację robót, </w:t>
      </w:r>
    </w:p>
    <w:p w14:paraId="6F29807F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>zabezpieczenie istniejących instalacji i urządzeń infrastruktury technicznej.</w:t>
      </w:r>
    </w:p>
    <w:p w14:paraId="26338A5D" w14:textId="77777777" w:rsidR="003777A0" w:rsidRPr="003777A0" w:rsidRDefault="003777A0" w:rsidP="003777A0">
      <w:pPr>
        <w:ind w:left="720"/>
        <w:jc w:val="both"/>
        <w:rPr>
          <w:rFonts w:cstheme="minorHAnsi"/>
        </w:rPr>
      </w:pPr>
    </w:p>
    <w:p w14:paraId="224FDFF0" w14:textId="77777777" w:rsidR="003777A0" w:rsidRPr="003777A0" w:rsidRDefault="003777A0" w:rsidP="003777A0">
      <w:pPr>
        <w:rPr>
          <w:rFonts w:cstheme="minorHAnsi"/>
          <w:b/>
        </w:rPr>
      </w:pPr>
      <w:bookmarkStart w:id="3" w:name="_Toc90307684"/>
      <w:r w:rsidRPr="003777A0">
        <w:rPr>
          <w:rFonts w:cstheme="minorHAnsi"/>
          <w:b/>
        </w:rPr>
        <w:t>Roboty ziemne</w:t>
      </w:r>
      <w:bookmarkEnd w:id="3"/>
      <w:r w:rsidRPr="003777A0">
        <w:rPr>
          <w:rFonts w:cstheme="minorHAnsi"/>
          <w:b/>
        </w:rPr>
        <w:t xml:space="preserve"> </w:t>
      </w:r>
    </w:p>
    <w:p w14:paraId="6D4EBEF8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Wykonawca zapewni obsługę geodezyjną budowy. Prace pomiarowe powinny być wykonane zgodnie z obowiązującymi przepisami i na koszt Wykonawcy, przez osoby posiadające odpowiednie kwalifikacje i uprawnienia. Wykonawca ponosi odpowiedzialność za następstwa niezgodności wykonanych robót z opisem Przedmiotu zamówienia.</w:t>
      </w:r>
    </w:p>
    <w:p w14:paraId="0101268F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eastAsia="Century Gothic" w:cstheme="minorHAnsi"/>
        </w:rPr>
        <w:t>Roboty ziemne obejmują w szczególności:</w:t>
      </w:r>
    </w:p>
    <w:p w14:paraId="2430F62C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wykonanie wykopów liniowych dla instalacji liniowych, kabli, itp., </w:t>
      </w:r>
    </w:p>
    <w:p w14:paraId="0560AEA3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wykopy związane z odkopaniem istniejących obiektów i instalacji przeznaczonych do rozbiórki lub przełożenia, </w:t>
      </w:r>
    </w:p>
    <w:p w14:paraId="6918481D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zasypywanie wykopów i dołów, </w:t>
      </w:r>
    </w:p>
    <w:p w14:paraId="63937F20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zabezpieczenie wykopów i istniejących instalacji podziemnych, </w:t>
      </w:r>
    </w:p>
    <w:p w14:paraId="2C80D714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odwodnienie wykopów. </w:t>
      </w:r>
    </w:p>
    <w:p w14:paraId="65C7D5AF" w14:textId="77777777" w:rsidR="003777A0" w:rsidRPr="003777A0" w:rsidRDefault="003777A0" w:rsidP="003777A0">
      <w:pPr>
        <w:ind w:left="720"/>
        <w:jc w:val="both"/>
        <w:rPr>
          <w:rFonts w:eastAsia="Century Gothic" w:cstheme="minorHAnsi"/>
        </w:rPr>
      </w:pPr>
    </w:p>
    <w:p w14:paraId="3E5D75FD" w14:textId="77777777" w:rsidR="003777A0" w:rsidRPr="003777A0" w:rsidRDefault="003777A0" w:rsidP="003777A0">
      <w:pPr>
        <w:rPr>
          <w:rFonts w:cstheme="minorHAnsi"/>
          <w:b/>
        </w:rPr>
      </w:pPr>
      <w:bookmarkStart w:id="4" w:name="_Toc90307688"/>
      <w:r w:rsidRPr="003777A0">
        <w:rPr>
          <w:rFonts w:cstheme="minorHAnsi"/>
          <w:b/>
        </w:rPr>
        <w:t xml:space="preserve">Sprzęt wykorzystywany </w:t>
      </w:r>
      <w:bookmarkEnd w:id="4"/>
      <w:r w:rsidRPr="003777A0">
        <w:rPr>
          <w:rFonts w:cstheme="minorHAnsi"/>
          <w:b/>
        </w:rPr>
        <w:t xml:space="preserve">do robót </w:t>
      </w:r>
    </w:p>
    <w:p w14:paraId="22843577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Wykonawca jest zobowiązany do używania jedynie takiego sprzętu, który nie spowoduje niekorzystnego wpływu na jakość i środowisko wykonywanych robót. </w:t>
      </w:r>
    </w:p>
    <w:p w14:paraId="4503E5CE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Sprzęt używany do realizacji robót powinien być zgodny z ustaleniami projektu organizacji robót, który uzyskał akceptację Zamawiającego. </w:t>
      </w:r>
    </w:p>
    <w:p w14:paraId="4193E5EE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Wykonawca dostarczy Zamawiającemu kopie dokumentów potwierdzających dopuszczenie sprzętu do użytkowania zgodnie z jego przeznaczeniem.</w:t>
      </w:r>
    </w:p>
    <w:p w14:paraId="61E8A9FC" w14:textId="77777777" w:rsidR="003777A0" w:rsidRPr="003777A0" w:rsidRDefault="003777A0" w:rsidP="003777A0">
      <w:pPr>
        <w:ind w:left="720"/>
        <w:jc w:val="both"/>
        <w:rPr>
          <w:rFonts w:eastAsia="Century Gothic" w:cstheme="minorHAnsi"/>
        </w:rPr>
      </w:pPr>
    </w:p>
    <w:p w14:paraId="35CE102C" w14:textId="77777777" w:rsidR="003777A0" w:rsidRPr="003777A0" w:rsidRDefault="003777A0" w:rsidP="003777A0">
      <w:pPr>
        <w:rPr>
          <w:rFonts w:cstheme="minorHAnsi"/>
          <w:b/>
        </w:rPr>
      </w:pPr>
      <w:bookmarkStart w:id="5" w:name="_Toc90307689"/>
      <w:r w:rsidRPr="003777A0">
        <w:rPr>
          <w:rFonts w:cstheme="minorHAnsi"/>
          <w:b/>
        </w:rPr>
        <w:t>Postępowanie z istniejącymi instalacjami</w:t>
      </w:r>
      <w:bookmarkEnd w:id="5"/>
      <w:r w:rsidRPr="003777A0">
        <w:rPr>
          <w:rFonts w:cstheme="minorHAnsi"/>
          <w:b/>
        </w:rPr>
        <w:t xml:space="preserve"> </w:t>
      </w:r>
    </w:p>
    <w:p w14:paraId="3D4F49D7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 przypadku, gdy wykonywane będą prace, które mogą mieć wpływ na istniejące instalacje podziemne, Wykonawca ma skontaktować się z miejscowymi przedstawicielami każdej z instytucji odpowiedzialnych za wyżej wymienione instalacje i utrzymywać z nimi ścisłą współpracę przez cały czas trwania robót. Wymaga się, aby pod nadzorem Zamawiającego, Wykonawca z góry ustalił lokalizację wszystkich głównych sieci i instalacji doprowadzających media, narażonych na uszkodzenie w wyniku prowadzonych robót. </w:t>
      </w:r>
    </w:p>
    <w:p w14:paraId="25D09F7D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>Wykonawca ma wykonać odkrywki/wykopy próbne w miejscach, w których nie można uzyskać informacji z istniejących dokumentów lub na podstawie cech widocznych na powierzchni. Niezależnie od sprawdzenia lokalizacji, dla uniknięcia uszkodzeń, konieczne jest przeprowadzenie dokładnych badań w celu wyjaśnienia stanu tych głównych instalacji, które mogą kolidować z elementami robót stałych, tam gdzie nie zostało to pokazane na mapie do celów projektowych.</w:t>
      </w:r>
    </w:p>
    <w:p w14:paraId="4F8344D8" w14:textId="77777777" w:rsidR="003777A0" w:rsidRPr="003777A0" w:rsidRDefault="003777A0" w:rsidP="003777A0">
      <w:pPr>
        <w:jc w:val="both"/>
        <w:rPr>
          <w:rFonts w:eastAsia="Century Gothic" w:cstheme="minorHAnsi"/>
        </w:rPr>
      </w:pPr>
    </w:p>
    <w:p w14:paraId="79F4E26A" w14:textId="77777777" w:rsidR="003777A0" w:rsidRPr="003777A0" w:rsidRDefault="003777A0" w:rsidP="003777A0">
      <w:pPr>
        <w:rPr>
          <w:rFonts w:cstheme="minorHAnsi"/>
          <w:b/>
        </w:rPr>
      </w:pPr>
      <w:bookmarkStart w:id="6" w:name="_Toc90307690"/>
      <w:r w:rsidRPr="003777A0">
        <w:rPr>
          <w:rFonts w:cstheme="minorHAnsi"/>
          <w:b/>
        </w:rPr>
        <w:t>Wymagania w zakresie ochrony odgromowej, przeciwprzepięciowej i ułożenia kabli / przewodów</w:t>
      </w:r>
      <w:bookmarkEnd w:id="6"/>
      <w:r w:rsidRPr="003777A0">
        <w:rPr>
          <w:rFonts w:cstheme="minorHAnsi"/>
          <w:b/>
        </w:rPr>
        <w:t xml:space="preserve"> </w:t>
      </w:r>
    </w:p>
    <w:p w14:paraId="429EF571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Przed przystąpieniem do prac Wykonawca zobligowany jest do zweryfikowania stanu układu elektroenergetycznego Zamawiającego. Z uwagi na istniejące uzbrojenie terenu zakładu Zamawiającego należy liczyć się z koniecznością wykonywania kanalizacji kablowej i </w:t>
      </w:r>
      <w:proofErr w:type="spellStart"/>
      <w:r w:rsidRPr="003777A0">
        <w:rPr>
          <w:rFonts w:cstheme="minorHAnsi"/>
        </w:rPr>
        <w:t>przecisków</w:t>
      </w:r>
      <w:proofErr w:type="spellEnd"/>
      <w:r w:rsidRPr="003777A0">
        <w:rPr>
          <w:rFonts w:cstheme="minorHAnsi"/>
        </w:rPr>
        <w:t xml:space="preserve"> (drogi wewnętrzne). </w:t>
      </w:r>
    </w:p>
    <w:p w14:paraId="565CF61E" w14:textId="77777777" w:rsidR="003777A0" w:rsidRPr="003777A0" w:rsidRDefault="003777A0" w:rsidP="003777A0">
      <w:pPr>
        <w:jc w:val="both"/>
        <w:rPr>
          <w:rFonts w:cstheme="minorHAnsi"/>
        </w:rPr>
      </w:pPr>
    </w:p>
    <w:p w14:paraId="08A4644D" w14:textId="77777777" w:rsidR="003777A0" w:rsidRPr="003777A0" w:rsidRDefault="003777A0" w:rsidP="003777A0">
      <w:pPr>
        <w:jc w:val="both"/>
        <w:rPr>
          <w:rFonts w:eastAsia="Century Gothic" w:cstheme="minorHAnsi"/>
        </w:rPr>
      </w:pPr>
    </w:p>
    <w:p w14:paraId="25A881DE" w14:textId="77777777" w:rsidR="003777A0" w:rsidRPr="003777A0" w:rsidRDefault="003777A0" w:rsidP="003777A0">
      <w:pPr>
        <w:rPr>
          <w:rFonts w:cstheme="minorHAnsi"/>
          <w:b/>
        </w:rPr>
      </w:pPr>
      <w:bookmarkStart w:id="7" w:name="_Toc90307691"/>
      <w:r w:rsidRPr="003777A0">
        <w:rPr>
          <w:rFonts w:cstheme="minorHAnsi"/>
          <w:b/>
        </w:rPr>
        <w:t>Wymagania dotyczące układów pomiarowo-rozliczeniowych energii i wprowadzonej do sieci elektroenergetycznej OSD</w:t>
      </w:r>
      <w:bookmarkEnd w:id="7"/>
    </w:p>
    <w:p w14:paraId="4C8AD559" w14:textId="1E3FDC6C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>Wykonawca jest zobowiązany do przeprowadzenia modyfikacji istniejącego układu pomiarowo-rozliczeniowego pośrednich energii elektrycznej w konsume</w:t>
      </w:r>
      <w:r w:rsidR="00520A14">
        <w:rPr>
          <w:rFonts w:cstheme="minorHAnsi"/>
        </w:rPr>
        <w:t>nckiej</w:t>
      </w:r>
      <w:r w:rsidRPr="003777A0">
        <w:rPr>
          <w:rFonts w:cstheme="minorHAnsi"/>
        </w:rPr>
        <w:t xml:space="preserve"> stacji transformatorowej 15/0,4 </w:t>
      </w:r>
      <w:proofErr w:type="spellStart"/>
      <w:r w:rsidRPr="003777A0">
        <w:rPr>
          <w:rFonts w:cstheme="minorHAnsi"/>
        </w:rPr>
        <w:t>kV</w:t>
      </w:r>
      <w:proofErr w:type="spellEnd"/>
      <w:r w:rsidRPr="003777A0">
        <w:rPr>
          <w:rFonts w:cstheme="minorHAnsi"/>
        </w:rPr>
        <w:t xml:space="preserve"> po stronie zakładu Zamawiającego w miejscach wprowadzenia /pobierania energii do/z sieci OSD zgodnie z wydanymi Warunkami przyłączenia do sieci. Wykonawca jest zobowiązany do odbioru technicznego ww. prac z OSD.</w:t>
      </w:r>
    </w:p>
    <w:p w14:paraId="5BE1C0AB" w14:textId="1D5BB8B9" w:rsidR="003777A0" w:rsidRPr="003777A0" w:rsidRDefault="003777A0" w:rsidP="003777A0">
      <w:pPr>
        <w:jc w:val="both"/>
        <w:rPr>
          <w:rFonts w:eastAsia="Century Gothic" w:cstheme="minorHAnsi"/>
        </w:rPr>
      </w:pPr>
    </w:p>
    <w:p w14:paraId="7EA955D4" w14:textId="77777777" w:rsidR="003777A0" w:rsidRPr="003777A0" w:rsidRDefault="003777A0" w:rsidP="003777A0">
      <w:pPr>
        <w:rPr>
          <w:rFonts w:cstheme="minorHAnsi"/>
          <w:b/>
        </w:rPr>
      </w:pPr>
      <w:bookmarkStart w:id="8" w:name="_Toc90307693"/>
      <w:r w:rsidRPr="003777A0">
        <w:rPr>
          <w:rFonts w:cstheme="minorHAnsi"/>
          <w:b/>
        </w:rPr>
        <w:t>Wymagania dotyczące dostawy i montażu układów automatyki zabezpieczającej</w:t>
      </w:r>
      <w:bookmarkEnd w:id="8"/>
      <w:r w:rsidRPr="003777A0">
        <w:rPr>
          <w:rFonts w:cstheme="minorHAnsi"/>
          <w:b/>
        </w:rPr>
        <w:t xml:space="preserve"> </w:t>
      </w:r>
    </w:p>
    <w:p w14:paraId="414EB3EE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Wykonawca jest zobowiązany wykonać prace w zakresie automatyki zabezpieczeniowej zgodnie z Warunkami przyłączenia do sieci i odbioru prac z OSD. W szczególności do montażu zabezpieczeń zgodnie z Warunkami przyłączenia do sieci i wymogami </w:t>
      </w:r>
      <w:proofErr w:type="spellStart"/>
      <w:r w:rsidRPr="003777A0">
        <w:rPr>
          <w:rFonts w:cstheme="minorHAnsi"/>
        </w:rPr>
        <w:t>IRiESD</w:t>
      </w:r>
      <w:proofErr w:type="spellEnd"/>
      <w:r w:rsidRPr="003777A0">
        <w:rPr>
          <w:rFonts w:cstheme="minorHAnsi"/>
        </w:rPr>
        <w:t>.</w:t>
      </w:r>
    </w:p>
    <w:p w14:paraId="6D97CEFB" w14:textId="705D4E61" w:rsidR="00CD321D" w:rsidRPr="003777A0" w:rsidRDefault="00CD321D" w:rsidP="00CD321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</w:p>
    <w:sectPr w:rsidR="00CD321D" w:rsidRPr="003777A0" w:rsidSect="00E52C04">
      <w:headerReference w:type="default" r:id="rId11"/>
      <w:pgSz w:w="11900" w:h="16840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E2420" w14:textId="77777777" w:rsidR="00250831" w:rsidRDefault="00250831" w:rsidP="00542963">
      <w:r>
        <w:separator/>
      </w:r>
    </w:p>
  </w:endnote>
  <w:endnote w:type="continuationSeparator" w:id="0">
    <w:p w14:paraId="183B25AA" w14:textId="77777777" w:rsidR="00250831" w:rsidRDefault="00250831" w:rsidP="0054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2C24D" w14:textId="77777777" w:rsidR="00250831" w:rsidRDefault="00250831" w:rsidP="00542963">
      <w:r>
        <w:separator/>
      </w:r>
    </w:p>
  </w:footnote>
  <w:footnote w:type="continuationSeparator" w:id="0">
    <w:p w14:paraId="549239D1" w14:textId="77777777" w:rsidR="00250831" w:rsidRDefault="00250831" w:rsidP="00542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E7A91" w14:textId="40F51DA8" w:rsidR="00480789" w:rsidRDefault="00480789">
    <w:pPr>
      <w:pStyle w:val="Nagwek"/>
    </w:pPr>
    <w:r w:rsidRPr="00710EEC">
      <w:rPr>
        <w:noProof/>
        <w:kern w:val="2"/>
        <w14:ligatures w14:val="standardContextual"/>
      </w:rPr>
      <w:drawing>
        <wp:inline distT="0" distB="0" distL="0" distR="0" wp14:anchorId="167F79FE" wp14:editId="1D601325">
          <wp:extent cx="5756910" cy="774188"/>
          <wp:effectExtent l="0" t="0" r="0" b="6985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41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1"/>
    <w:multiLevelType w:val="singleLevel"/>
    <w:tmpl w:val="6EFC2032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</w:abstractNum>
  <w:abstractNum w:abstractNumId="1" w15:restartNumberingAfterBreak="0">
    <w:nsid w:val="016F1C29"/>
    <w:multiLevelType w:val="hybridMultilevel"/>
    <w:tmpl w:val="1F1CB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5C49"/>
    <w:multiLevelType w:val="hybridMultilevel"/>
    <w:tmpl w:val="BB60C7EA"/>
    <w:lvl w:ilvl="0" w:tplc="4EF46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50A75"/>
    <w:multiLevelType w:val="multilevel"/>
    <w:tmpl w:val="C9242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CE382B"/>
    <w:multiLevelType w:val="hybridMultilevel"/>
    <w:tmpl w:val="C8BA40A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3741F"/>
    <w:multiLevelType w:val="hybridMultilevel"/>
    <w:tmpl w:val="DD3E0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F1A12"/>
    <w:multiLevelType w:val="hybridMultilevel"/>
    <w:tmpl w:val="83E8F22A"/>
    <w:lvl w:ilvl="0" w:tplc="04150011">
      <w:start w:val="1"/>
      <w:numFmt w:val="decimal"/>
      <w:lvlText w:val="%1)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7" w15:restartNumberingAfterBreak="0">
    <w:nsid w:val="21C70D42"/>
    <w:multiLevelType w:val="hybridMultilevel"/>
    <w:tmpl w:val="585C2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22B4C"/>
    <w:multiLevelType w:val="hybridMultilevel"/>
    <w:tmpl w:val="6194E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46356"/>
    <w:multiLevelType w:val="multilevel"/>
    <w:tmpl w:val="358466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854E7"/>
    <w:multiLevelType w:val="hybridMultilevel"/>
    <w:tmpl w:val="BD505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4683A6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17AAA"/>
    <w:multiLevelType w:val="multilevel"/>
    <w:tmpl w:val="E31C4608"/>
    <w:lvl w:ilvl="0">
      <w:start w:val="1"/>
      <w:numFmt w:val="lowerLetter"/>
      <w:lvlText w:val="%1)"/>
      <w:lvlJc w:val="left"/>
      <w:rPr>
        <w:rFonts w:ascii="Calibri" w:eastAsia="Arial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9B5DFB"/>
    <w:multiLevelType w:val="hybridMultilevel"/>
    <w:tmpl w:val="601A4FB6"/>
    <w:lvl w:ilvl="0" w:tplc="7E7CF56C">
      <w:start w:val="1"/>
      <w:numFmt w:val="lowerLetter"/>
      <w:lvlText w:val="%1)"/>
      <w:lvlJc w:val="left"/>
      <w:pPr>
        <w:ind w:left="806" w:hanging="360"/>
      </w:pPr>
      <w:rPr>
        <w:rFonts w:asciiTheme="minorHAnsi" w:eastAsia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3" w15:restartNumberingAfterBreak="0">
    <w:nsid w:val="34C64CEC"/>
    <w:multiLevelType w:val="multilevel"/>
    <w:tmpl w:val="99D4F3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025367"/>
    <w:multiLevelType w:val="hybridMultilevel"/>
    <w:tmpl w:val="C18EF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76C9E"/>
    <w:multiLevelType w:val="multilevel"/>
    <w:tmpl w:val="4B429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4D703B"/>
    <w:multiLevelType w:val="multilevel"/>
    <w:tmpl w:val="AC8C0D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7213F2"/>
    <w:multiLevelType w:val="hybridMultilevel"/>
    <w:tmpl w:val="0CB49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32933"/>
    <w:multiLevelType w:val="multilevel"/>
    <w:tmpl w:val="9CAE4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E736B9"/>
    <w:multiLevelType w:val="hybridMultilevel"/>
    <w:tmpl w:val="51D4AB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B18F3"/>
    <w:multiLevelType w:val="multilevel"/>
    <w:tmpl w:val="E9F26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Century Gothic" w:eastAsiaTheme="minorHAnsi" w:hAnsi="Century Gothic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F1F7FCD"/>
    <w:multiLevelType w:val="multilevel"/>
    <w:tmpl w:val="6E16A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CE6ED7"/>
    <w:multiLevelType w:val="hybridMultilevel"/>
    <w:tmpl w:val="FEF25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E4B02"/>
    <w:multiLevelType w:val="hybridMultilevel"/>
    <w:tmpl w:val="AA6A117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71F35A70"/>
    <w:multiLevelType w:val="hybridMultilevel"/>
    <w:tmpl w:val="0BFC096E"/>
    <w:lvl w:ilvl="0" w:tplc="5682292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81C38"/>
    <w:multiLevelType w:val="hybridMultilevel"/>
    <w:tmpl w:val="98D224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8236FA"/>
    <w:multiLevelType w:val="multilevel"/>
    <w:tmpl w:val="9A288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A42E45"/>
    <w:multiLevelType w:val="multilevel"/>
    <w:tmpl w:val="A5E82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CA7605"/>
    <w:multiLevelType w:val="multilevel"/>
    <w:tmpl w:val="DAE058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AF5F23"/>
    <w:multiLevelType w:val="hybridMultilevel"/>
    <w:tmpl w:val="96A6F838"/>
    <w:lvl w:ilvl="0" w:tplc="2EA26218">
      <w:start w:val="1"/>
      <w:numFmt w:val="lowerLetter"/>
      <w:lvlText w:val="%1)"/>
      <w:lvlJc w:val="left"/>
      <w:pPr>
        <w:ind w:left="4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49884934">
    <w:abstractNumId w:val="5"/>
  </w:num>
  <w:num w:numId="2" w16cid:durableId="243338501">
    <w:abstractNumId w:val="11"/>
  </w:num>
  <w:num w:numId="3" w16cid:durableId="1031146440">
    <w:abstractNumId w:val="17"/>
  </w:num>
  <w:num w:numId="4" w16cid:durableId="1019964856">
    <w:abstractNumId w:val="6"/>
  </w:num>
  <w:num w:numId="5" w16cid:durableId="1276213440">
    <w:abstractNumId w:val="25"/>
  </w:num>
  <w:num w:numId="6" w16cid:durableId="15107524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14031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27584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4440308">
    <w:abstractNumId w:val="12"/>
  </w:num>
  <w:num w:numId="10" w16cid:durableId="638148807">
    <w:abstractNumId w:val="2"/>
  </w:num>
  <w:num w:numId="11" w16cid:durableId="1912739121">
    <w:abstractNumId w:val="29"/>
  </w:num>
  <w:num w:numId="12" w16cid:durableId="2142989353">
    <w:abstractNumId w:val="24"/>
  </w:num>
  <w:num w:numId="13" w16cid:durableId="1674258498">
    <w:abstractNumId w:val="7"/>
  </w:num>
  <w:num w:numId="14" w16cid:durableId="1090467459">
    <w:abstractNumId w:val="14"/>
  </w:num>
  <w:num w:numId="15" w16cid:durableId="697194888">
    <w:abstractNumId w:val="23"/>
  </w:num>
  <w:num w:numId="16" w16cid:durableId="1101991401">
    <w:abstractNumId w:val="22"/>
  </w:num>
  <w:num w:numId="17" w16cid:durableId="410544765">
    <w:abstractNumId w:val="10"/>
  </w:num>
  <w:num w:numId="18" w16cid:durableId="952899451">
    <w:abstractNumId w:val="4"/>
  </w:num>
  <w:num w:numId="19" w16cid:durableId="443424286">
    <w:abstractNumId w:val="8"/>
  </w:num>
  <w:num w:numId="20" w16cid:durableId="221448769">
    <w:abstractNumId w:val="1"/>
  </w:num>
  <w:num w:numId="21" w16cid:durableId="674889728">
    <w:abstractNumId w:val="19"/>
  </w:num>
  <w:num w:numId="22" w16cid:durableId="20445953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80231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321488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4787962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70517313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6701098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4827205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68789030">
    <w:abstractNumId w:val="9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44251499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87913304">
    <w:abstractNumId w:val="16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79C"/>
    <w:rsid w:val="00005A9B"/>
    <w:rsid w:val="00013895"/>
    <w:rsid w:val="00016EBD"/>
    <w:rsid w:val="000228F4"/>
    <w:rsid w:val="00023D05"/>
    <w:rsid w:val="00024B4E"/>
    <w:rsid w:val="000272C9"/>
    <w:rsid w:val="00030F91"/>
    <w:rsid w:val="00042A74"/>
    <w:rsid w:val="000505D3"/>
    <w:rsid w:val="000537C9"/>
    <w:rsid w:val="0007121D"/>
    <w:rsid w:val="00073E3C"/>
    <w:rsid w:val="00090FE2"/>
    <w:rsid w:val="000A6593"/>
    <w:rsid w:val="000A7E96"/>
    <w:rsid w:val="000B5687"/>
    <w:rsid w:val="000B5CEF"/>
    <w:rsid w:val="000C6861"/>
    <w:rsid w:val="000D0F0C"/>
    <w:rsid w:val="000E1528"/>
    <w:rsid w:val="000E6AF4"/>
    <w:rsid w:val="000F0039"/>
    <w:rsid w:val="000F0A84"/>
    <w:rsid w:val="000F14FC"/>
    <w:rsid w:val="000F2429"/>
    <w:rsid w:val="000F55BE"/>
    <w:rsid w:val="00102F8B"/>
    <w:rsid w:val="00120F07"/>
    <w:rsid w:val="00121FFF"/>
    <w:rsid w:val="0012591A"/>
    <w:rsid w:val="001313A4"/>
    <w:rsid w:val="00136C0F"/>
    <w:rsid w:val="00141103"/>
    <w:rsid w:val="00143B70"/>
    <w:rsid w:val="0014509D"/>
    <w:rsid w:val="00151C3C"/>
    <w:rsid w:val="0015423D"/>
    <w:rsid w:val="00164A3F"/>
    <w:rsid w:val="0017122C"/>
    <w:rsid w:val="001828E2"/>
    <w:rsid w:val="00192CA5"/>
    <w:rsid w:val="00197B5D"/>
    <w:rsid w:val="00197F4F"/>
    <w:rsid w:val="001A40AB"/>
    <w:rsid w:val="001A6351"/>
    <w:rsid w:val="001B05C2"/>
    <w:rsid w:val="001C52BC"/>
    <w:rsid w:val="001C5647"/>
    <w:rsid w:val="001C7F3C"/>
    <w:rsid w:val="001D5C23"/>
    <w:rsid w:val="001D7F52"/>
    <w:rsid w:val="001F3620"/>
    <w:rsid w:val="001F5108"/>
    <w:rsid w:val="00203AB9"/>
    <w:rsid w:val="00207C73"/>
    <w:rsid w:val="00210A96"/>
    <w:rsid w:val="00211206"/>
    <w:rsid w:val="00214429"/>
    <w:rsid w:val="00214CD5"/>
    <w:rsid w:val="00217AB5"/>
    <w:rsid w:val="002208E4"/>
    <w:rsid w:val="00230172"/>
    <w:rsid w:val="00232D88"/>
    <w:rsid w:val="002370D9"/>
    <w:rsid w:val="00246719"/>
    <w:rsid w:val="00247D91"/>
    <w:rsid w:val="00250831"/>
    <w:rsid w:val="002A15BC"/>
    <w:rsid w:val="002A5A2E"/>
    <w:rsid w:val="002C0DC8"/>
    <w:rsid w:val="002E5380"/>
    <w:rsid w:val="003201CB"/>
    <w:rsid w:val="00325411"/>
    <w:rsid w:val="003312C7"/>
    <w:rsid w:val="00344244"/>
    <w:rsid w:val="00345FE7"/>
    <w:rsid w:val="0035679C"/>
    <w:rsid w:val="00367CC8"/>
    <w:rsid w:val="003755C6"/>
    <w:rsid w:val="003777A0"/>
    <w:rsid w:val="00381259"/>
    <w:rsid w:val="00387D2D"/>
    <w:rsid w:val="00394367"/>
    <w:rsid w:val="0039495C"/>
    <w:rsid w:val="00396973"/>
    <w:rsid w:val="00396C9B"/>
    <w:rsid w:val="003A6186"/>
    <w:rsid w:val="003B3DEB"/>
    <w:rsid w:val="003D0118"/>
    <w:rsid w:val="003F5CC3"/>
    <w:rsid w:val="004042DB"/>
    <w:rsid w:val="004068E8"/>
    <w:rsid w:val="00424926"/>
    <w:rsid w:val="00440589"/>
    <w:rsid w:val="0044274F"/>
    <w:rsid w:val="00444650"/>
    <w:rsid w:val="0045474A"/>
    <w:rsid w:val="00467CC3"/>
    <w:rsid w:val="00480789"/>
    <w:rsid w:val="004A2A42"/>
    <w:rsid w:val="004A5C59"/>
    <w:rsid w:val="004C0064"/>
    <w:rsid w:val="004C0C0A"/>
    <w:rsid w:val="004D5F22"/>
    <w:rsid w:val="004E0FB6"/>
    <w:rsid w:val="004F07F5"/>
    <w:rsid w:val="004F6125"/>
    <w:rsid w:val="00511FF4"/>
    <w:rsid w:val="00513FFD"/>
    <w:rsid w:val="00520A14"/>
    <w:rsid w:val="005369EC"/>
    <w:rsid w:val="00537A5F"/>
    <w:rsid w:val="00537CC5"/>
    <w:rsid w:val="00542963"/>
    <w:rsid w:val="00552A25"/>
    <w:rsid w:val="00560267"/>
    <w:rsid w:val="00570B17"/>
    <w:rsid w:val="00575748"/>
    <w:rsid w:val="0058081D"/>
    <w:rsid w:val="00583585"/>
    <w:rsid w:val="00592E42"/>
    <w:rsid w:val="005C2434"/>
    <w:rsid w:val="005C74A5"/>
    <w:rsid w:val="005E4AB8"/>
    <w:rsid w:val="005F2205"/>
    <w:rsid w:val="005F78C7"/>
    <w:rsid w:val="00602384"/>
    <w:rsid w:val="0060636A"/>
    <w:rsid w:val="00615D64"/>
    <w:rsid w:val="00623196"/>
    <w:rsid w:val="00631203"/>
    <w:rsid w:val="0063157F"/>
    <w:rsid w:val="006431FF"/>
    <w:rsid w:val="006438F7"/>
    <w:rsid w:val="00647809"/>
    <w:rsid w:val="00651972"/>
    <w:rsid w:val="0067535E"/>
    <w:rsid w:val="00682B8F"/>
    <w:rsid w:val="0068355E"/>
    <w:rsid w:val="00686E6C"/>
    <w:rsid w:val="00691105"/>
    <w:rsid w:val="006A6BA2"/>
    <w:rsid w:val="006B4EB7"/>
    <w:rsid w:val="006C7F28"/>
    <w:rsid w:val="006D518B"/>
    <w:rsid w:val="006D6C42"/>
    <w:rsid w:val="006E6461"/>
    <w:rsid w:val="006F0E43"/>
    <w:rsid w:val="0070103F"/>
    <w:rsid w:val="00707769"/>
    <w:rsid w:val="00721E5E"/>
    <w:rsid w:val="00736862"/>
    <w:rsid w:val="00737078"/>
    <w:rsid w:val="0074644A"/>
    <w:rsid w:val="00747305"/>
    <w:rsid w:val="00764AA7"/>
    <w:rsid w:val="0076787E"/>
    <w:rsid w:val="00787AFE"/>
    <w:rsid w:val="00795C63"/>
    <w:rsid w:val="007B3978"/>
    <w:rsid w:val="007B4084"/>
    <w:rsid w:val="007B5370"/>
    <w:rsid w:val="007C5732"/>
    <w:rsid w:val="007D50E3"/>
    <w:rsid w:val="007D78BA"/>
    <w:rsid w:val="007F1EE7"/>
    <w:rsid w:val="007F4F76"/>
    <w:rsid w:val="007F6DB5"/>
    <w:rsid w:val="007F7022"/>
    <w:rsid w:val="008163D2"/>
    <w:rsid w:val="00816735"/>
    <w:rsid w:val="00837B7D"/>
    <w:rsid w:val="00865447"/>
    <w:rsid w:val="00870A5C"/>
    <w:rsid w:val="00883106"/>
    <w:rsid w:val="008952C8"/>
    <w:rsid w:val="008A4991"/>
    <w:rsid w:val="008E0726"/>
    <w:rsid w:val="008E6FBB"/>
    <w:rsid w:val="008F6F2E"/>
    <w:rsid w:val="00922D9C"/>
    <w:rsid w:val="009459DD"/>
    <w:rsid w:val="00956AE6"/>
    <w:rsid w:val="00967D36"/>
    <w:rsid w:val="009742C5"/>
    <w:rsid w:val="009829A4"/>
    <w:rsid w:val="009B795C"/>
    <w:rsid w:val="009D7745"/>
    <w:rsid w:val="009F7C94"/>
    <w:rsid w:val="00A01875"/>
    <w:rsid w:val="00A05639"/>
    <w:rsid w:val="00A06FCD"/>
    <w:rsid w:val="00A17EE6"/>
    <w:rsid w:val="00A27CE4"/>
    <w:rsid w:val="00A37F60"/>
    <w:rsid w:val="00A804D8"/>
    <w:rsid w:val="00A80E41"/>
    <w:rsid w:val="00A83D77"/>
    <w:rsid w:val="00A9046B"/>
    <w:rsid w:val="00A9125E"/>
    <w:rsid w:val="00AB3713"/>
    <w:rsid w:val="00AB4D28"/>
    <w:rsid w:val="00AD7F28"/>
    <w:rsid w:val="00AE40F3"/>
    <w:rsid w:val="00AE4B64"/>
    <w:rsid w:val="00B026D4"/>
    <w:rsid w:val="00B04EBE"/>
    <w:rsid w:val="00B11EBE"/>
    <w:rsid w:val="00B17689"/>
    <w:rsid w:val="00B26C16"/>
    <w:rsid w:val="00B36950"/>
    <w:rsid w:val="00B432FA"/>
    <w:rsid w:val="00B63310"/>
    <w:rsid w:val="00B63D4B"/>
    <w:rsid w:val="00B721E2"/>
    <w:rsid w:val="00B87FC5"/>
    <w:rsid w:val="00B95DA6"/>
    <w:rsid w:val="00BA0AC5"/>
    <w:rsid w:val="00BD3D6F"/>
    <w:rsid w:val="00BD48F8"/>
    <w:rsid w:val="00BE07AA"/>
    <w:rsid w:val="00BE1332"/>
    <w:rsid w:val="00BF379D"/>
    <w:rsid w:val="00C02E9C"/>
    <w:rsid w:val="00C07910"/>
    <w:rsid w:val="00C11A32"/>
    <w:rsid w:val="00C276EE"/>
    <w:rsid w:val="00C35FD2"/>
    <w:rsid w:val="00C36435"/>
    <w:rsid w:val="00C40ECB"/>
    <w:rsid w:val="00C41F72"/>
    <w:rsid w:val="00C52B8F"/>
    <w:rsid w:val="00C81B10"/>
    <w:rsid w:val="00C86E55"/>
    <w:rsid w:val="00C91F18"/>
    <w:rsid w:val="00CB75F9"/>
    <w:rsid w:val="00CC2B8D"/>
    <w:rsid w:val="00CC7400"/>
    <w:rsid w:val="00CD321D"/>
    <w:rsid w:val="00CE23FB"/>
    <w:rsid w:val="00CE2F24"/>
    <w:rsid w:val="00CF19D6"/>
    <w:rsid w:val="00D10165"/>
    <w:rsid w:val="00D17B3E"/>
    <w:rsid w:val="00D354C9"/>
    <w:rsid w:val="00D36535"/>
    <w:rsid w:val="00D55E8F"/>
    <w:rsid w:val="00D62567"/>
    <w:rsid w:val="00D625B1"/>
    <w:rsid w:val="00D7684C"/>
    <w:rsid w:val="00D76D26"/>
    <w:rsid w:val="00D86042"/>
    <w:rsid w:val="00D93CD2"/>
    <w:rsid w:val="00D969F7"/>
    <w:rsid w:val="00DC4E8A"/>
    <w:rsid w:val="00DD549C"/>
    <w:rsid w:val="00DD6268"/>
    <w:rsid w:val="00DF5694"/>
    <w:rsid w:val="00E1101C"/>
    <w:rsid w:val="00E12AC7"/>
    <w:rsid w:val="00E254AD"/>
    <w:rsid w:val="00E32F2D"/>
    <w:rsid w:val="00E403A1"/>
    <w:rsid w:val="00E50348"/>
    <w:rsid w:val="00E52C04"/>
    <w:rsid w:val="00E60B74"/>
    <w:rsid w:val="00E81E22"/>
    <w:rsid w:val="00E82578"/>
    <w:rsid w:val="00E95A0D"/>
    <w:rsid w:val="00EB2DF9"/>
    <w:rsid w:val="00EC0446"/>
    <w:rsid w:val="00EC2B5D"/>
    <w:rsid w:val="00ED3342"/>
    <w:rsid w:val="00EE655C"/>
    <w:rsid w:val="00EF046A"/>
    <w:rsid w:val="00EF416C"/>
    <w:rsid w:val="00EF6707"/>
    <w:rsid w:val="00F229EF"/>
    <w:rsid w:val="00F2733E"/>
    <w:rsid w:val="00F322F9"/>
    <w:rsid w:val="00F42825"/>
    <w:rsid w:val="00F433D5"/>
    <w:rsid w:val="00F44189"/>
    <w:rsid w:val="00F507AE"/>
    <w:rsid w:val="00F52514"/>
    <w:rsid w:val="00F566B0"/>
    <w:rsid w:val="00FA054E"/>
    <w:rsid w:val="00FA0765"/>
    <w:rsid w:val="00FA452B"/>
    <w:rsid w:val="00FB535B"/>
    <w:rsid w:val="00FC241A"/>
    <w:rsid w:val="00FC3B6B"/>
    <w:rsid w:val="00FE6D72"/>
    <w:rsid w:val="00FF367F"/>
    <w:rsid w:val="00FF3EE5"/>
    <w:rsid w:val="00FF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EE222"/>
  <w14:defaultImageDpi w14:val="32767"/>
  <w15:chartTrackingRefBased/>
  <w15:docId w15:val="{562FF924-AF9B-854A-8313-37A8ED71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4E0FB6"/>
  </w:style>
  <w:style w:type="paragraph" w:styleId="Nagwek1">
    <w:name w:val="heading 1"/>
    <w:basedOn w:val="Normalny"/>
    <w:next w:val="Normalny"/>
    <w:link w:val="Nagwek1Znak"/>
    <w:uiPriority w:val="9"/>
    <w:qFormat/>
    <w:rsid w:val="006D6C42"/>
    <w:pPr>
      <w:keepNext/>
      <w:keepLines/>
      <w:spacing w:before="240" w:after="240"/>
      <w:outlineLvl w:val="0"/>
    </w:pPr>
    <w:rPr>
      <w:rFonts w:ascii="Century Gothic" w:eastAsiaTheme="majorEastAsia" w:hAnsi="Century Gothic" w:cstheme="majorBidi"/>
      <w:b/>
      <w:color w:val="00B05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6C42"/>
    <w:pPr>
      <w:keepNext/>
      <w:keepLines/>
      <w:spacing w:before="40" w:after="120"/>
      <w:outlineLvl w:val="1"/>
    </w:pPr>
    <w:rPr>
      <w:rFonts w:ascii="Century Gothic" w:eastAsiaTheme="majorEastAsia" w:hAnsi="Century Gothic" w:cstheme="majorBidi"/>
      <w:color w:val="00E96C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6C42"/>
    <w:pPr>
      <w:keepNext/>
      <w:keepLines/>
      <w:spacing w:before="40"/>
      <w:outlineLvl w:val="2"/>
    </w:pPr>
    <w:rPr>
      <w:rFonts w:ascii="Century Gothic" w:eastAsiaTheme="majorEastAsia" w:hAnsi="Century Gothic" w:cstheme="majorBidi"/>
      <w:color w:val="1F3763" w:themeColor="accent1" w:themeShade="7F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F4F76"/>
    <w:pPr>
      <w:ind w:left="720"/>
      <w:contextualSpacing/>
    </w:pPr>
  </w:style>
  <w:style w:type="character" w:customStyle="1" w:styleId="Teksttreci2">
    <w:name w:val="Tekst treści (2)_"/>
    <w:link w:val="Teksttreci20"/>
    <w:rsid w:val="003B3DEB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B3DEB"/>
    <w:pPr>
      <w:widowControl w:val="0"/>
      <w:shd w:val="clear" w:color="auto" w:fill="FFFFFF"/>
      <w:spacing w:before="180" w:after="180" w:line="0" w:lineRule="atLeast"/>
      <w:ind w:hanging="620"/>
      <w:jc w:val="both"/>
    </w:pPr>
    <w:rPr>
      <w:rFonts w:ascii="Arial" w:eastAsia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96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9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2963"/>
    <w:rPr>
      <w:vertAlign w:val="superscript"/>
    </w:rPr>
  </w:style>
  <w:style w:type="table" w:styleId="Tabela-Siatka">
    <w:name w:val="Table Grid"/>
    <w:basedOn w:val="Standardowy"/>
    <w:uiPriority w:val="39"/>
    <w:rsid w:val="00ED3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D334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15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15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15B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D6C42"/>
    <w:rPr>
      <w:rFonts w:ascii="Century Gothic" w:eastAsiaTheme="majorEastAsia" w:hAnsi="Century Gothic" w:cstheme="majorBidi"/>
      <w:b/>
      <w:color w:val="00B05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D6C42"/>
    <w:rPr>
      <w:rFonts w:ascii="Century Gothic" w:eastAsiaTheme="majorEastAsia" w:hAnsi="Century Gothic" w:cstheme="majorBidi"/>
      <w:color w:val="00E96C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D6C42"/>
    <w:rPr>
      <w:rFonts w:ascii="Century Gothic" w:eastAsiaTheme="majorEastAsia" w:hAnsi="Century Gothic" w:cstheme="majorBidi"/>
      <w:color w:val="1F3763" w:themeColor="accent1" w:themeShade="7F"/>
      <w:sz w:val="22"/>
    </w:rPr>
  </w:style>
  <w:style w:type="paragraph" w:customStyle="1" w:styleId="msonormal0">
    <w:name w:val="msonormal"/>
    <w:basedOn w:val="Normalny"/>
    <w:rsid w:val="006D6C4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6C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C42"/>
  </w:style>
  <w:style w:type="paragraph" w:styleId="Stopka">
    <w:name w:val="footer"/>
    <w:basedOn w:val="Normalny"/>
    <w:link w:val="StopkaZnak"/>
    <w:uiPriority w:val="99"/>
    <w:unhideWhenUsed/>
    <w:rsid w:val="006D6C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C42"/>
  </w:style>
  <w:style w:type="character" w:styleId="Numerstrony">
    <w:name w:val="page number"/>
    <w:basedOn w:val="Domylnaczcionkaakapitu"/>
    <w:uiPriority w:val="99"/>
    <w:semiHidden/>
    <w:unhideWhenUsed/>
    <w:rsid w:val="006D6C42"/>
  </w:style>
  <w:style w:type="paragraph" w:styleId="Poprawka">
    <w:name w:val="Revision"/>
    <w:hidden/>
    <w:uiPriority w:val="99"/>
    <w:semiHidden/>
    <w:rsid w:val="006D6C42"/>
  </w:style>
  <w:style w:type="paragraph" w:styleId="Tekstdymka">
    <w:name w:val="Balloon Text"/>
    <w:basedOn w:val="Normalny"/>
    <w:link w:val="TekstdymkaZnak"/>
    <w:uiPriority w:val="99"/>
    <w:semiHidden/>
    <w:unhideWhenUsed/>
    <w:rsid w:val="006D6C4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C42"/>
    <w:rPr>
      <w:rFonts w:ascii="Times New Roman" w:hAnsi="Times New Roman" w:cs="Times New Roman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D6C4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6D6C42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6C42"/>
    <w:pPr>
      <w:spacing w:before="480" w:after="0" w:line="276" w:lineRule="auto"/>
      <w:outlineLvl w:val="9"/>
    </w:pPr>
    <w:rPr>
      <w:rFonts w:asciiTheme="majorHAnsi" w:hAnsiTheme="majorHAnsi"/>
      <w:bCs/>
      <w:color w:val="2F5496" w:themeColor="accent1" w:themeShade="BF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D6C42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D6C42"/>
    <w:pPr>
      <w:ind w:left="240"/>
    </w:pPr>
    <w:rPr>
      <w:rFonts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D6C42"/>
    <w:pPr>
      <w:ind w:left="480"/>
    </w:pPr>
    <w:rPr>
      <w:rFonts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D6C42"/>
    <w:pPr>
      <w:ind w:left="72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D6C42"/>
    <w:pPr>
      <w:ind w:left="96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D6C42"/>
    <w:pPr>
      <w:ind w:left="12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D6C42"/>
    <w:pPr>
      <w:ind w:left="144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D6C42"/>
    <w:pPr>
      <w:ind w:left="168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D6C42"/>
    <w:pPr>
      <w:ind w:left="1920"/>
    </w:pPr>
    <w:rPr>
      <w:rFonts w:cstheme="minorHAnsi"/>
      <w:sz w:val="18"/>
      <w:szCs w:val="18"/>
    </w:rPr>
  </w:style>
  <w:style w:type="character" w:customStyle="1" w:styleId="apple-converted-space">
    <w:name w:val="apple-converted-space"/>
    <w:basedOn w:val="Domylnaczcionkaakapitu"/>
    <w:rsid w:val="006D6C42"/>
  </w:style>
  <w:style w:type="character" w:styleId="Odwoaniedokomentarza">
    <w:name w:val="annotation reference"/>
    <w:basedOn w:val="Domylnaczcionkaakapitu"/>
    <w:uiPriority w:val="99"/>
    <w:semiHidden/>
    <w:unhideWhenUsed/>
    <w:rsid w:val="004F61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61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6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1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 Version="2003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16FD3B-FC6A-674D-AF30-B468974645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C0DAAA-E4EB-45F8-8222-909198743642}">
  <ds:schemaRefs>
    <ds:schemaRef ds:uri="http://schemas.microsoft.com/office/2006/metadata/properties"/>
    <ds:schemaRef ds:uri="http://schemas.microsoft.com/office/infopath/2007/PartnerControls"/>
    <ds:schemaRef ds:uri="0360e556-4afa-4cd8-afb0-107b9c56b884"/>
    <ds:schemaRef ds:uri="42f3c746-333b-4ffb-84ae-fe90cc28481d"/>
  </ds:schemaRefs>
</ds:datastoreItem>
</file>

<file path=customXml/itemProps3.xml><?xml version="1.0" encoding="utf-8"?>
<ds:datastoreItem xmlns:ds="http://schemas.openxmlformats.org/officeDocument/2006/customXml" ds:itemID="{84EF6F09-13B4-487B-BC3F-8DD009F39B5F}"/>
</file>

<file path=customXml/itemProps4.xml><?xml version="1.0" encoding="utf-8"?>
<ds:datastoreItem xmlns:ds="http://schemas.openxmlformats.org/officeDocument/2006/customXml" ds:itemID="{910A5148-D6C5-49D2-9669-014E144713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2638</Words>
  <Characters>15833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Szutko</dc:creator>
  <cp:keywords/>
  <dc:description/>
  <cp:lastModifiedBy>Grzegorz Hołyszewski</cp:lastModifiedBy>
  <cp:revision>3</cp:revision>
  <cp:lastPrinted>2026-01-02T09:01:00Z</cp:lastPrinted>
  <dcterms:created xsi:type="dcterms:W3CDTF">2026-01-14T14:57:00Z</dcterms:created>
  <dcterms:modified xsi:type="dcterms:W3CDTF">2026-01-15T14:08:00Z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